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90F4" w14:textId="77777777" w:rsidR="003D0D31" w:rsidRPr="003D0D31" w:rsidRDefault="003D0D31" w:rsidP="003D0D31">
      <w:pPr>
        <w:widowControl/>
        <w:jc w:val="center"/>
        <w:rPr>
          <w:rFonts w:ascii="SourceHanSansCN" w:eastAsia="宋体" w:hAnsi="SourceHanSansCN" w:cs="宋体" w:hint="eastAsia"/>
          <w:b/>
          <w:bCs/>
          <w:color w:val="333333"/>
          <w:kern w:val="0"/>
          <w:sz w:val="34"/>
          <w:szCs w:val="34"/>
        </w:rPr>
      </w:pPr>
      <w:r w:rsidRPr="003D0D31">
        <w:rPr>
          <w:rFonts w:ascii="SourceHanSansCN" w:eastAsia="宋体" w:hAnsi="SourceHanSansCN" w:cs="宋体"/>
          <w:b/>
          <w:bCs/>
          <w:color w:val="333333"/>
          <w:kern w:val="0"/>
          <w:sz w:val="34"/>
          <w:szCs w:val="34"/>
        </w:rPr>
        <w:t>华鑫证券关于完善客户身份基本信息的公告</w:t>
      </w:r>
    </w:p>
    <w:p w14:paraId="45B8E5F5" w14:textId="77777777" w:rsidR="003D0D31" w:rsidRPr="003D0D31" w:rsidRDefault="003D0D31" w:rsidP="003D0D31">
      <w:pPr>
        <w:widowControl/>
        <w:spacing w:line="348" w:lineRule="atLeast"/>
        <w:jc w:val="left"/>
        <w:rPr>
          <w:rFonts w:ascii="SourceHanSansCN" w:eastAsia="宋体" w:hAnsi="SourceHanSansCN" w:cs="宋体" w:hint="eastAsia"/>
          <w:color w:val="333333"/>
          <w:kern w:val="0"/>
          <w:sz w:val="22"/>
        </w:rPr>
      </w:pPr>
      <w:r w:rsidRPr="003D0D31">
        <w:rPr>
          <w:rFonts w:ascii="SourceHanSansCN" w:eastAsia="宋体" w:hAnsi="SourceHanSansCN" w:cs="宋体"/>
          <w:color w:val="333333"/>
          <w:kern w:val="0"/>
          <w:sz w:val="22"/>
        </w:rPr>
        <w:t> </w:t>
      </w:r>
    </w:p>
    <w:p w14:paraId="615ABC12" w14:textId="23EED893" w:rsidR="003D0D31" w:rsidRPr="001437AB" w:rsidRDefault="003D0D31" w:rsidP="003D0D31">
      <w:pPr>
        <w:widowControl/>
        <w:spacing w:line="348" w:lineRule="atLeast"/>
        <w:jc w:val="left"/>
        <w:rPr>
          <w:rFonts w:asciiTheme="minorEastAsia" w:hAnsiTheme="minorEastAsia" w:cs="宋体" w:hint="eastAsia"/>
          <w:color w:val="333333"/>
          <w:kern w:val="0"/>
          <w:sz w:val="22"/>
        </w:rPr>
      </w:pPr>
      <w:r w:rsidRPr="001437AB">
        <w:rPr>
          <w:rFonts w:asciiTheme="minorEastAsia" w:hAnsiTheme="minorEastAsia" w:cs="宋体"/>
          <w:color w:val="333333"/>
          <w:kern w:val="0"/>
          <w:sz w:val="22"/>
        </w:rPr>
        <w:t>尊敬的客户：</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为进一步落实《中华人民共和国反洗钱法》、《金融机构客户身份识别和客户身份资料及交易记录保存管理办法》等法律法规及监管规定，严格履行客户身份识别义务，我司将持续开展客户身份信息完善工作，对在我司留存的客户身份信息不完善和存疑的客户账户采取相应休眠或限制措施。现将有关事项公告如下：</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一、界定标准</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（一）对有关客户账户采取休眠措施的标准（同时满足以下条）：</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1. 在我司留存的客户身份信息不完整或不真实，或留存证件已失效的客户账户。</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客户身份基本信息包括但不限于个人客户姓名、性别、国籍、职业、住所地或者工作单位地址、联系方式、身份证件或者身份证明文件的种类、号码和有效期限；机构客户的名称、住所、经营范围；依法设立或经营的证照类型、号码和有效期限；法定代表人、负责人、授权办理业务人员、控股股东或实际控制人姓名、身份证明文件种类、号码和有效期限；受益所有人的姓名、地址、身份证明文件种类、号码和有效期限。</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2.截止至2019年8月31日，三年内无任何交易或转账记录的客户账户。</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3. 2019年8月31日清算后，无证券持仓的客户账户，资金美元账户不高于100美元、港币账户不高于1000港币、人民币账户不高于1000人民币的客户账户。</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r>
      <w:r w:rsidRPr="001437AB">
        <w:rPr>
          <w:rFonts w:asciiTheme="minorEastAsia" w:hAnsiTheme="minorEastAsia" w:cs="宋体"/>
          <w:b/>
          <w:bCs/>
          <w:color w:val="333333"/>
          <w:kern w:val="0"/>
          <w:sz w:val="22"/>
        </w:rPr>
        <w:t>我们郑重提醒您：客户账户休眠后，该账户将无法进行交易和资金转账，需客户临柜办理客户账户激活后才能进行交易和资金转账。 </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（二）对有关客户账户限制措施标准：</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1.对不满足上述账户休眠标准的，但在我司留存的前述任何一项身份基本信息缺失、错误、无效，或原职业登记选项为“其他”且没有补充说明的客户账户。</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持有效二代身份证的个人客户请在2019年10月31日前登录“鑫e代”APP或登录我司官网“网上营业厅”更新您的身份基本信息。</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持其他类型身份证件的个人客户及机构客户（包括产品客户）请在2019年10月31日</w:t>
      </w:r>
      <w:r w:rsidRPr="001437AB">
        <w:rPr>
          <w:rFonts w:asciiTheme="minorEastAsia" w:hAnsiTheme="minorEastAsia" w:cs="宋体"/>
          <w:color w:val="333333"/>
          <w:kern w:val="0"/>
          <w:sz w:val="22"/>
        </w:rPr>
        <w:lastRenderedPageBreak/>
        <w:t>前携带有效身份证件及其他相关资料就近到我司任一营业网点进行更新，我司将为您核实身份基本信息并完成信息补录。逾期未更新的，我司将依据相关法律法规及监管规定，视情况对身份基本信息缺失、无效、错误或真实性、有效性、完整性存在疑点客户的账户采取相应限制措施，限制措施包括但不限于限制资金转出（证转银）、限制转托管、限制撤销指定交易等。</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2.对不满足上述账户休眠标准的证件失效客户，我司将根据先前已发布的公告，继续对留存身份证明文件为15位居民身份证的自然人、营业执照尚未三证合一的机构户以及身份证明文件（自然人为居民身份证，机构户为新版营业执照）已过有效期没有在合理期限（3个月）内更新的客户中止办理业务，包括采取限制撤销指定交易、限制转托管、限制资金转出（证转银），禁止买入及禁止新股申购的限制措施，直至客户身份证件信息更新完毕。</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二、 执行时间</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我司将于2019年10月31日起分批次开展上述客户账户休眠和限制工作。</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三、客户账户休眠和限制的后续处理</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如您的账户被采取休眠措施，您本人可凭有效证件到我司任一营业网点办理客户账户身份信息更新手续解除休眠。</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如您的账户被采取账户限制措施，持有效二代身份证的个人客户可登录“鑫e代”APP或登录公司官网“网上营业厅”更新您的身份基本信息；持其他类型身份证件的个人客户及机构客户（包括产品客户）需携带有效身份证件及其他相关资料就近到我司任一营业网点进行更新，完善后我们将为您解除账户限制。</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由此给您带来的不便，敬请谅解！如有疑问，请咨询公司相关营业网点或我司客户服务中心。</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我公司客户服务热线：95323</w:t>
      </w:r>
      <w:r w:rsidRPr="001437AB">
        <w:rPr>
          <w:rFonts w:asciiTheme="minorEastAsia" w:hAnsiTheme="minorEastAsia" w:cs="宋体"/>
          <w:color w:val="333333"/>
          <w:kern w:val="0"/>
          <w:sz w:val="22"/>
        </w:rPr>
        <w:br/>
      </w:r>
      <w:r w:rsidRPr="001437AB">
        <w:rPr>
          <w:rFonts w:asciiTheme="minorEastAsia" w:hAnsiTheme="minorEastAsia" w:cs="宋体"/>
          <w:color w:val="333333"/>
          <w:kern w:val="0"/>
          <w:sz w:val="22"/>
        </w:rPr>
        <w:br/>
        <w:t>特此公告。</w:t>
      </w:r>
    </w:p>
    <w:p w14:paraId="70EDF719" w14:textId="4F39CE5D" w:rsidR="003D0D31" w:rsidRPr="001437AB" w:rsidRDefault="003D0D31" w:rsidP="003D0D31">
      <w:pPr>
        <w:widowControl/>
        <w:spacing w:line="348" w:lineRule="atLeast"/>
        <w:jc w:val="left"/>
        <w:rPr>
          <w:rFonts w:asciiTheme="minorEastAsia" w:hAnsiTheme="minorEastAsia" w:cs="宋体" w:hint="eastAsia"/>
          <w:color w:val="333333"/>
          <w:kern w:val="0"/>
          <w:sz w:val="22"/>
        </w:rPr>
      </w:pPr>
    </w:p>
    <w:p w14:paraId="742D5DE2" w14:textId="77777777" w:rsidR="003D0D31" w:rsidRPr="001437AB" w:rsidRDefault="003D0D31" w:rsidP="003D0D31">
      <w:pPr>
        <w:widowControl/>
        <w:spacing w:line="348" w:lineRule="atLeast"/>
        <w:jc w:val="right"/>
        <w:rPr>
          <w:rFonts w:asciiTheme="minorEastAsia" w:hAnsiTheme="minorEastAsia" w:cs="宋体" w:hint="eastAsia"/>
          <w:color w:val="333333"/>
          <w:kern w:val="0"/>
          <w:sz w:val="22"/>
        </w:rPr>
      </w:pPr>
      <w:r w:rsidRPr="001437AB">
        <w:rPr>
          <w:rFonts w:asciiTheme="minorEastAsia" w:hAnsiTheme="minorEastAsia" w:cs="宋体"/>
          <w:color w:val="333333"/>
          <w:kern w:val="0"/>
          <w:sz w:val="22"/>
        </w:rPr>
        <w:t>华鑫证券有限责任公司</w:t>
      </w:r>
    </w:p>
    <w:p w14:paraId="0B77A536" w14:textId="77AEADC8" w:rsidR="003D0D31" w:rsidRPr="001437AB" w:rsidRDefault="003D0D31" w:rsidP="003D0D31">
      <w:pPr>
        <w:widowControl/>
        <w:spacing w:line="348" w:lineRule="atLeast"/>
        <w:jc w:val="left"/>
        <w:rPr>
          <w:rFonts w:asciiTheme="minorEastAsia" w:hAnsiTheme="minorEastAsia" w:cs="宋体" w:hint="eastAsia"/>
          <w:color w:val="333333"/>
          <w:kern w:val="0"/>
          <w:sz w:val="22"/>
        </w:rPr>
      </w:pPr>
    </w:p>
    <w:p w14:paraId="0809B0B5" w14:textId="034DD65C" w:rsidR="003D0D31" w:rsidRPr="001437AB" w:rsidRDefault="003D0D31" w:rsidP="003D0D31">
      <w:pPr>
        <w:widowControl/>
        <w:spacing w:line="348" w:lineRule="atLeast"/>
        <w:jc w:val="left"/>
        <w:rPr>
          <w:rFonts w:asciiTheme="minorEastAsia" w:hAnsiTheme="minorEastAsia" w:cs="宋体" w:hint="eastAsia"/>
          <w:color w:val="333333"/>
          <w:kern w:val="0"/>
          <w:sz w:val="22"/>
        </w:rPr>
      </w:pPr>
    </w:p>
    <w:p w14:paraId="76CCCA0C" w14:textId="77777777" w:rsidR="003D0D31" w:rsidRPr="001437AB" w:rsidRDefault="003D0D31" w:rsidP="003D0D31">
      <w:pPr>
        <w:widowControl/>
        <w:spacing w:line="348" w:lineRule="atLeast"/>
        <w:jc w:val="right"/>
        <w:rPr>
          <w:rFonts w:asciiTheme="minorEastAsia" w:hAnsiTheme="minorEastAsia" w:cs="宋体" w:hint="eastAsia"/>
          <w:color w:val="333333"/>
          <w:kern w:val="0"/>
          <w:sz w:val="22"/>
        </w:rPr>
      </w:pPr>
      <w:r w:rsidRPr="001437AB">
        <w:rPr>
          <w:rFonts w:asciiTheme="minorEastAsia" w:hAnsiTheme="minorEastAsia" w:cs="宋体"/>
          <w:color w:val="333333"/>
          <w:kern w:val="0"/>
          <w:sz w:val="22"/>
        </w:rPr>
        <w:t>2019年 8月27 日</w:t>
      </w:r>
    </w:p>
    <w:p w14:paraId="4BC90953" w14:textId="77777777" w:rsidR="00A4705E" w:rsidRPr="003D0D31" w:rsidRDefault="00A4705E"/>
    <w:sectPr w:rsidR="00A4705E" w:rsidRPr="003D0D31" w:rsidSect="00A47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urceHanSansCN">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0D31"/>
    <w:rsid w:val="001437AB"/>
    <w:rsid w:val="003D0D31"/>
    <w:rsid w:val="00A4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6756"/>
  <w15:docId w15:val="{17ABE5C6-323C-4380-8605-5216DEFF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D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0D31"/>
    <w:rPr>
      <w:b/>
      <w:bCs/>
    </w:rPr>
  </w:style>
  <w:style w:type="character" w:customStyle="1" w:styleId="apple-converted-space">
    <w:name w:val="apple-converted-space"/>
    <w:basedOn w:val="a0"/>
    <w:rsid w:val="003D0D31"/>
  </w:style>
  <w:style w:type="character" w:styleId="a5">
    <w:name w:val="Hyperlink"/>
    <w:basedOn w:val="a0"/>
    <w:uiPriority w:val="99"/>
    <w:semiHidden/>
    <w:unhideWhenUsed/>
    <w:rsid w:val="003D0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89">
      <w:bodyDiv w:val="1"/>
      <w:marLeft w:val="0"/>
      <w:marRight w:val="0"/>
      <w:marTop w:val="0"/>
      <w:marBottom w:val="0"/>
      <w:divBdr>
        <w:top w:val="none" w:sz="0" w:space="0" w:color="auto"/>
        <w:left w:val="none" w:sz="0" w:space="0" w:color="auto"/>
        <w:bottom w:val="none" w:sz="0" w:space="0" w:color="auto"/>
        <w:right w:val="none" w:sz="0" w:space="0" w:color="auto"/>
      </w:divBdr>
      <w:divsChild>
        <w:div w:id="1946696361">
          <w:marLeft w:val="0"/>
          <w:marRight w:val="0"/>
          <w:marTop w:val="0"/>
          <w:marBottom w:val="408"/>
          <w:divBdr>
            <w:top w:val="none" w:sz="0" w:space="0" w:color="auto"/>
            <w:left w:val="none" w:sz="0" w:space="0" w:color="auto"/>
            <w:bottom w:val="none" w:sz="0" w:space="0" w:color="auto"/>
            <w:right w:val="none" w:sz="0" w:space="0" w:color="auto"/>
          </w:divBdr>
        </w:div>
        <w:div w:id="24458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张茜雯</dc:creator>
  <cp:lastModifiedBy>朱 元超</cp:lastModifiedBy>
  <cp:revision>2</cp:revision>
  <dcterms:created xsi:type="dcterms:W3CDTF">2023-05-04T07:19:00Z</dcterms:created>
  <dcterms:modified xsi:type="dcterms:W3CDTF">2023-05-16T08:10:00Z</dcterms:modified>
</cp:coreProperties>
</file>