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D30" w:rsidRPr="00994DE8" w:rsidRDefault="00EB4D30" w:rsidP="00EB4D30">
      <w:pPr>
        <w:snapToGrid w:val="0"/>
        <w:spacing w:line="360" w:lineRule="auto"/>
        <w:jc w:val="center"/>
        <w:rPr>
          <w:rFonts w:ascii="黑体" w:eastAsia="黑体" w:hAnsi="宋体"/>
          <w:b/>
          <w:sz w:val="30"/>
          <w:szCs w:val="30"/>
        </w:rPr>
      </w:pPr>
      <w:bookmarkStart w:id="0" w:name="_Toc87280919"/>
      <w:r w:rsidRPr="00AC5FEB">
        <w:rPr>
          <w:rFonts w:ascii="黑体" w:eastAsia="黑体" w:hAnsi="宋体" w:hint="eastAsia"/>
          <w:b/>
          <w:sz w:val="30"/>
          <w:szCs w:val="30"/>
        </w:rPr>
        <w:t>IB业务公</w:t>
      </w:r>
      <w:r w:rsidRPr="004B4646">
        <w:rPr>
          <w:rFonts w:ascii="黑体" w:eastAsia="黑体" w:hAnsi="宋体" w:hint="eastAsia"/>
          <w:b/>
          <w:sz w:val="30"/>
          <w:szCs w:val="30"/>
        </w:rPr>
        <w:t>示信息</w:t>
      </w:r>
    </w:p>
    <w:p w:rsidR="00915FAC" w:rsidRDefault="004E03A8" w:rsidP="00354CA9">
      <w:pPr>
        <w:pStyle w:val="1"/>
        <w:spacing w:beforeLines="100" w:before="312" w:afterLines="50" w:after="156" w:line="560" w:lineRule="exact"/>
      </w:pPr>
      <w:r w:rsidRPr="004E03A8">
        <w:rPr>
          <w:rFonts w:hint="eastAsia"/>
        </w:rPr>
        <w:t>一、受托从事的介绍业务范围</w:t>
      </w:r>
      <w:bookmarkEnd w:id="0"/>
    </w:p>
    <w:p w:rsidR="004E03A8" w:rsidRPr="00EB4D30" w:rsidRDefault="004E03A8" w:rsidP="00B611C6">
      <w:pPr>
        <w:spacing w:afterLines="50" w:after="156" w:line="360" w:lineRule="auto"/>
        <w:ind w:firstLineChars="200" w:firstLine="420"/>
        <w:jc w:val="left"/>
      </w:pPr>
      <w:r w:rsidRPr="00EB4D30">
        <w:rPr>
          <w:rFonts w:hint="eastAsia"/>
        </w:rPr>
        <w:t>华鑫证券接受</w:t>
      </w:r>
      <w:r w:rsidR="004F68FD">
        <w:rPr>
          <w:rFonts w:hint="eastAsia"/>
        </w:rPr>
        <w:t>南华期货</w:t>
      </w:r>
      <w:r w:rsidRPr="00EB4D30">
        <w:rPr>
          <w:rFonts w:hint="eastAsia"/>
        </w:rPr>
        <w:t>的委托，为</w:t>
      </w:r>
      <w:r w:rsidR="002B7347">
        <w:rPr>
          <w:rFonts w:hint="eastAsia"/>
        </w:rPr>
        <w:t>其</w:t>
      </w:r>
      <w:r w:rsidRPr="00EB4D30">
        <w:rPr>
          <w:rFonts w:hint="eastAsia"/>
        </w:rPr>
        <w:t>介绍客户从事期货交易，并提供下列服务：</w:t>
      </w:r>
    </w:p>
    <w:p w:rsidR="004E03A8" w:rsidRPr="00EB4D30" w:rsidRDefault="004E03A8" w:rsidP="00B611C6">
      <w:pPr>
        <w:spacing w:afterLines="50" w:after="156" w:line="360" w:lineRule="auto"/>
        <w:jc w:val="left"/>
      </w:pPr>
      <w:r w:rsidRPr="00EB4D30">
        <w:rPr>
          <w:rFonts w:hint="eastAsia"/>
        </w:rPr>
        <w:t>（</w:t>
      </w:r>
      <w:r w:rsidRPr="00EB4D30">
        <w:rPr>
          <w:rFonts w:hint="eastAsia"/>
        </w:rPr>
        <w:t>1</w:t>
      </w:r>
      <w:r w:rsidRPr="00EB4D30">
        <w:rPr>
          <w:rFonts w:hint="eastAsia"/>
        </w:rPr>
        <w:t>）协助办理期货开户手续；</w:t>
      </w:r>
    </w:p>
    <w:p w:rsidR="004E03A8" w:rsidRPr="00EB4D30" w:rsidRDefault="004E03A8" w:rsidP="00B611C6">
      <w:pPr>
        <w:spacing w:afterLines="50" w:after="156" w:line="360" w:lineRule="auto"/>
        <w:jc w:val="left"/>
      </w:pPr>
      <w:r w:rsidRPr="00EB4D30">
        <w:rPr>
          <w:rFonts w:hint="eastAsia"/>
        </w:rPr>
        <w:t>（</w:t>
      </w:r>
      <w:r w:rsidRPr="00EB4D30">
        <w:rPr>
          <w:rFonts w:hint="eastAsia"/>
        </w:rPr>
        <w:t>2</w:t>
      </w:r>
      <w:r w:rsidRPr="00EB4D30">
        <w:rPr>
          <w:rFonts w:hint="eastAsia"/>
        </w:rPr>
        <w:t>）提供期货行情信息、交易设施；</w:t>
      </w:r>
    </w:p>
    <w:p w:rsidR="00EB6737" w:rsidRPr="00EB4D30" w:rsidRDefault="004E03A8" w:rsidP="00B611C6">
      <w:pPr>
        <w:spacing w:afterLines="50" w:after="156" w:line="360" w:lineRule="auto"/>
        <w:jc w:val="left"/>
      </w:pPr>
      <w:r w:rsidRPr="00EB4D30">
        <w:rPr>
          <w:rFonts w:hint="eastAsia"/>
        </w:rPr>
        <w:t>（</w:t>
      </w:r>
      <w:r w:rsidRPr="00EB4D30">
        <w:rPr>
          <w:rFonts w:hint="eastAsia"/>
        </w:rPr>
        <w:t>3</w:t>
      </w:r>
      <w:r w:rsidRPr="00EB4D30">
        <w:rPr>
          <w:rFonts w:hint="eastAsia"/>
        </w:rPr>
        <w:t>）中国证监会规定的其他服务。</w:t>
      </w:r>
    </w:p>
    <w:p w:rsidR="00915FAC" w:rsidRPr="00EB4D30" w:rsidRDefault="004E03A8" w:rsidP="00EB4D30">
      <w:pPr>
        <w:pStyle w:val="1"/>
        <w:spacing w:beforeLines="100" w:before="312" w:afterLines="50" w:after="156" w:line="560" w:lineRule="exact"/>
      </w:pPr>
      <w:bookmarkStart w:id="1" w:name="_Toc87280920"/>
      <w:r w:rsidRPr="00EB4D30">
        <w:rPr>
          <w:rFonts w:hint="eastAsia"/>
        </w:rPr>
        <w:t>二、期货公司期货保证金账户信息、期货保证金安全存管方式</w:t>
      </w:r>
      <w:bookmarkEnd w:id="1"/>
    </w:p>
    <w:p w:rsidR="004E03A8" w:rsidRPr="00D76AE5" w:rsidRDefault="004E03A8" w:rsidP="007C1ADF">
      <w:pPr>
        <w:pStyle w:val="2"/>
      </w:pPr>
      <w:bookmarkStart w:id="2" w:name="_Toc87280921"/>
      <w:r w:rsidRPr="00D76AE5">
        <w:rPr>
          <w:rFonts w:hint="eastAsia"/>
        </w:rPr>
        <w:t>1</w:t>
      </w:r>
      <w:r w:rsidRPr="00D76AE5">
        <w:rPr>
          <w:rFonts w:hint="eastAsia"/>
        </w:rPr>
        <w:t>、期货保证金账户清单</w:t>
      </w:r>
      <w:bookmarkEnd w:id="2"/>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99"/>
        <w:gridCol w:w="1842"/>
        <w:gridCol w:w="2552"/>
        <w:gridCol w:w="1417"/>
        <w:gridCol w:w="1120"/>
      </w:tblGrid>
      <w:tr w:rsidR="002F0F90" w:rsidRPr="00866ADB" w:rsidTr="00E401EF">
        <w:trPr>
          <w:cantSplit/>
          <w:trHeight w:val="449"/>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b/>
              </w:rPr>
            </w:pPr>
            <w:r w:rsidRPr="00866ADB">
              <w:rPr>
                <w:rFonts w:ascii="宋体" w:hAnsi="宋体" w:hint="eastAsia"/>
                <w:b/>
              </w:rPr>
              <w:t>序号</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b/>
              </w:rPr>
            </w:pPr>
            <w:r w:rsidRPr="00866ADB">
              <w:rPr>
                <w:rFonts w:ascii="宋体" w:hAnsi="宋体" w:hint="eastAsia"/>
                <w:b/>
              </w:rPr>
              <w:t>户名</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b/>
              </w:rPr>
            </w:pPr>
            <w:r w:rsidRPr="00866ADB">
              <w:rPr>
                <w:rFonts w:ascii="宋体" w:hAnsi="宋体" w:hint="eastAsia"/>
                <w:b/>
              </w:rPr>
              <w:t>开户行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b/>
              </w:rPr>
            </w:pPr>
            <w:r w:rsidRPr="00866ADB">
              <w:rPr>
                <w:rFonts w:ascii="宋体" w:hAnsi="宋体" w:hint="eastAsia"/>
                <w:b/>
              </w:rPr>
              <w:t>帐号</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b/>
              </w:rPr>
            </w:pPr>
            <w:r w:rsidRPr="00866ADB">
              <w:rPr>
                <w:rFonts w:ascii="宋体" w:hAnsi="宋体" w:hint="eastAsia"/>
                <w:b/>
              </w:rPr>
              <w:t>所在地</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b/>
              </w:rPr>
            </w:pPr>
            <w:r w:rsidRPr="00866ADB">
              <w:rPr>
                <w:rFonts w:ascii="宋体" w:hAnsi="宋体" w:hint="eastAsia"/>
                <w:b/>
              </w:rPr>
              <w:t>备注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中国工商银行杭州保俶支行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1202022729927301786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建行宝石支行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33001616135050000202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交通银行西湖支行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331066140018170016187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农行杭州吴山支行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19-005801040002871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中行开元支行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394858364807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6</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兴业银行杭州分行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356980113400000385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浦发银行杭州求是支行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95140153800000045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光大银行杭州西湖支行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76910188000131663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9</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中信银行凤起支行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7331210187000001620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民生银行涌金支行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626821731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招商银行凤起支行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571906867810216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lastRenderedPageBreak/>
              <w:t>12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广发银行杭州分行营业部</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9550880025648100111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13</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交行西湖支行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（现货指定收款账户且已开通银证转账）</w:t>
            </w:r>
            <w:r w:rsidRPr="00866ADB">
              <w:t>331066130018170135987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工行保俶支行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（现货指定收款账户且已开通银证转账）</w:t>
            </w:r>
            <w:r w:rsidRPr="00866ADB">
              <w:t>1202022719900289141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中行开元支行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（现货指定收款账户但尚未开通银证转账）</w:t>
            </w:r>
            <w:r w:rsidRPr="00866ADB">
              <w:t>355870878738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16</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建设银行杭州宝石支行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（现货指定收款账户但尚未开通银证转账）</w:t>
            </w:r>
            <w:r w:rsidRPr="00866ADB">
              <w:t>33050161612700001927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平安银行杭州分行营业部</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19014508314006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交行上海期货大厦支行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310066056016600809614</w:t>
            </w:r>
            <w:r w:rsidRPr="00866ADB">
              <w:rPr>
                <w:rFonts w:hint="eastAsia"/>
              </w:rPr>
              <w:t>（能源交易专户</w:t>
            </w:r>
            <w:r w:rsidRPr="00866ADB">
              <w:rPr>
                <w:rFonts w:hint="eastAsia"/>
              </w:rPr>
              <w:t>-</w:t>
            </w:r>
            <w:r w:rsidRPr="00866ADB">
              <w:rPr>
                <w:rFonts w:hint="eastAsia"/>
              </w:rPr>
              <w:t>人民币账户）</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19</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交行上海期货大厦支行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 xml:space="preserve">310066056146600809677 </w:t>
            </w:r>
            <w:r w:rsidRPr="00866ADB">
              <w:rPr>
                <w:rFonts w:hint="eastAsia"/>
              </w:rPr>
              <w:t>（能源交易专户</w:t>
            </w:r>
            <w:r w:rsidRPr="00866ADB">
              <w:rPr>
                <w:rFonts w:hint="eastAsia"/>
              </w:rPr>
              <w:t>-</w:t>
            </w:r>
            <w:r w:rsidRPr="00866ADB">
              <w:rPr>
                <w:rFonts w:hint="eastAsia"/>
              </w:rPr>
              <w:t>美元户）</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中行上海期货大厦支行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 xml:space="preserve">458541880968 </w:t>
            </w:r>
            <w:r w:rsidRPr="00866ADB">
              <w:rPr>
                <w:rFonts w:hint="eastAsia"/>
              </w:rPr>
              <w:t>（能源交易专户</w:t>
            </w:r>
            <w:r w:rsidRPr="00866ADB">
              <w:rPr>
                <w:rFonts w:hint="eastAsia"/>
              </w:rPr>
              <w:t>-</w:t>
            </w:r>
            <w:r w:rsidRPr="00866ADB">
              <w:rPr>
                <w:rFonts w:hint="eastAsia"/>
              </w:rPr>
              <w:t>人民币账户）</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中行上海期货大厦支行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458542880967</w:t>
            </w:r>
            <w:r w:rsidRPr="00866ADB">
              <w:rPr>
                <w:rFonts w:hint="eastAsia"/>
              </w:rPr>
              <w:t>（能源交易专户</w:t>
            </w:r>
            <w:r w:rsidRPr="00866ADB">
              <w:rPr>
                <w:rFonts w:hint="eastAsia"/>
              </w:rPr>
              <w:t>-</w:t>
            </w:r>
            <w:r w:rsidRPr="00866ADB">
              <w:rPr>
                <w:rFonts w:hint="eastAsia"/>
              </w:rPr>
              <w:t>美元户）</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r w:rsidRPr="00866ADB">
              <w:rPr>
                <w:rFonts w:hint="eastAsia"/>
              </w:rPr>
              <w:t>农行上海期货大厦支行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pPr>
            <w:r w:rsidRPr="00866ADB">
              <w:rPr>
                <w:rFonts w:hint="eastAsia"/>
              </w:rPr>
              <w:t>03427900046680963</w:t>
            </w:r>
            <w:r w:rsidRPr="00866ADB">
              <w:rPr>
                <w:rFonts w:hint="eastAsia"/>
              </w:rPr>
              <w:t>（能源专户—人民币账户）</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23</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2F0F90" w:rsidRPr="00866ADB" w:rsidRDefault="002F0F90" w:rsidP="00C61BD7">
            <w:r w:rsidRPr="00866ADB">
              <w:rPr>
                <w:rFonts w:hint="eastAsia"/>
              </w:rPr>
              <w:t>南华期货股份有限公司</w:t>
            </w:r>
            <w:r w:rsidRPr="00866ADB">
              <w:rPr>
                <w:rFonts w:hint="eastAsia"/>
              </w:rPr>
              <w:t xml:space="preserve"> </w:t>
            </w:r>
            <w:r w:rsidRPr="00866ADB">
              <w:rPr>
                <w:rFonts w:hint="eastAsia"/>
              </w:rPr>
              <w:t>（</w:t>
            </w:r>
            <w:r w:rsidRPr="00866ADB">
              <w:rPr>
                <w:rFonts w:hint="eastAsia"/>
              </w:rPr>
              <w:t>NANHUA FUTURES CO LTD</w:t>
            </w:r>
            <w:r w:rsidRPr="00866ADB">
              <w:rPr>
                <w:rFonts w:hint="eastAsi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F0F90" w:rsidRPr="00866ADB" w:rsidRDefault="002F0F90" w:rsidP="00C61BD7">
            <w:r w:rsidRPr="00866ADB">
              <w:rPr>
                <w:rFonts w:hint="eastAsia"/>
              </w:rPr>
              <w:t>星展银行上海分行</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2F0F90" w:rsidRPr="00866ADB" w:rsidRDefault="002F0F90" w:rsidP="00C61BD7">
            <w:pPr>
              <w:jc w:val="left"/>
            </w:pPr>
            <w:r w:rsidRPr="00866ADB">
              <w:rPr>
                <w:rFonts w:hint="eastAsia"/>
              </w:rPr>
              <w:t>809650022CNY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4D06B8"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r w:rsidRPr="00866ADB">
              <w:rPr>
                <w:rFonts w:ascii="Helvetica Neue" w:hAnsi="Helvetica Neue"/>
              </w:rPr>
              <w:t>（</w:t>
            </w:r>
            <w:r w:rsidRPr="00866ADB">
              <w:rPr>
                <w:rFonts w:ascii="Helvetica Neue" w:hAnsi="Helvetica Neue"/>
              </w:rPr>
              <w:t>NANHUA FUTURES CO LTD</w:t>
            </w:r>
            <w:r w:rsidRPr="00866ADB">
              <w:rPr>
                <w:rFonts w:ascii="Helvetica Neue" w:hAnsi="Helvetica Neue"/>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星展银行上海分行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809650022USD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lastRenderedPageBreak/>
              <w:t>25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pStyle w:val="ab"/>
              <w:rPr>
                <w:rFonts w:ascii="Helvetica Neue" w:hAnsi="Helvetica Neue" w:hint="eastAsia"/>
                <w:sz w:val="20"/>
                <w:szCs w:val="20"/>
              </w:rPr>
            </w:pPr>
            <w:r w:rsidRPr="00866ADB">
              <w:rPr>
                <w:rFonts w:ascii="Arial" w:hAnsi="Arial" w:cs="Arial"/>
              </w:rPr>
              <w:t>交行大商所支行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rPr>
                <w:rFonts w:ascii="Helvetica Neue" w:eastAsia="宋体" w:hAnsi="Helvetica Neue" w:cs="宋体" w:hint="eastAsia"/>
                <w:sz w:val="24"/>
                <w:szCs w:val="24"/>
              </w:rPr>
            </w:pPr>
            <w:r w:rsidRPr="00866ADB">
              <w:rPr>
                <w:rFonts w:ascii="Helvetica Neue" w:hAnsi="Helvetica Neue"/>
              </w:rPr>
              <w:t>212060120142417000911</w:t>
            </w:r>
            <w:r w:rsidRPr="00866ADB">
              <w:rPr>
                <w:rFonts w:ascii="Helvetica Neue" w:hAnsi="Helvetica Neue"/>
              </w:rPr>
              <w:t>（美元）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26</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rPr>
                <w:rFonts w:ascii="Helvetica Neue" w:eastAsia="宋体" w:hAnsi="Helvetica Neue" w:cs="宋体" w:hint="eastAsia"/>
                <w:sz w:val="24"/>
                <w:szCs w:val="24"/>
              </w:rPr>
            </w:pPr>
            <w:r w:rsidRPr="00866ADB">
              <w:rPr>
                <w:rFonts w:ascii="Arial" w:hAnsi="Arial" w:cs="Arial"/>
              </w:rPr>
              <w:t>交行大商所支行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rPr>
                <w:rFonts w:ascii="Helvetica Neue" w:eastAsia="宋体" w:hAnsi="Helvetica Neue" w:cs="宋体" w:hint="eastAsia"/>
                <w:sz w:val="24"/>
                <w:szCs w:val="24"/>
              </w:rPr>
            </w:pPr>
            <w:r w:rsidRPr="00866ADB">
              <w:rPr>
                <w:rFonts w:ascii="Helvetica Neue" w:hAnsi="Helvetica Neue"/>
              </w:rPr>
              <w:t>212060120018000004854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rPr>
                <w:rFonts w:ascii="Helvetica Neue" w:eastAsia="宋体" w:hAnsi="Helvetica Neue" w:cs="宋体" w:hint="eastAsia"/>
                <w:sz w:val="24"/>
                <w:szCs w:val="24"/>
              </w:rPr>
            </w:pPr>
            <w:r w:rsidRPr="00866ADB">
              <w:rPr>
                <w:rFonts w:ascii="Arial" w:hAnsi="Arial" w:cs="Arial"/>
              </w:rPr>
              <w:t>中行大商所支行营业部</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jc w:val="left"/>
              <w:rPr>
                <w:rFonts w:ascii="Helvetica Neue" w:eastAsia="宋体" w:hAnsi="Helvetica Neue" w:cs="宋体" w:hint="eastAsia"/>
                <w:sz w:val="24"/>
                <w:szCs w:val="24"/>
              </w:rPr>
            </w:pPr>
            <w:r w:rsidRPr="00866ADB">
              <w:rPr>
                <w:rFonts w:ascii="Helvetica Neue" w:hAnsi="Helvetica Neue"/>
              </w:rPr>
              <w:t>301275660209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Arial" w:hAnsi="Arial" w:cs="Arial"/>
              </w:rPr>
              <w:t>中行大商所支行营业部</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316875661110</w:t>
            </w:r>
            <w:r w:rsidRPr="00866ADB">
              <w:rPr>
                <w:rFonts w:ascii="Helvetica Neue" w:hAnsi="Helvetica Neue"/>
              </w:rPr>
              <w:t>（美元）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29</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Arial" w:hAnsi="Arial" w:cs="Arial"/>
              </w:rPr>
              <w:t>浦发银行上海期交所支行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971101538068096130</w:t>
            </w:r>
            <w:r w:rsidRPr="00866ADB">
              <w:rPr>
                <w:rFonts w:ascii="Helvetica Neue" w:hAnsi="Helvetica Neue"/>
              </w:rPr>
              <w:t>（能源交易专户</w:t>
            </w:r>
            <w:r w:rsidRPr="00866ADB">
              <w:rPr>
                <w:rFonts w:ascii="Helvetica Neue" w:hAnsi="Helvetica Neue"/>
              </w:rPr>
              <w:t>-</w:t>
            </w:r>
            <w:r w:rsidRPr="00866ADB">
              <w:rPr>
                <w:rFonts w:ascii="Helvetica Neue" w:hAnsi="Helvetica Neue"/>
              </w:rPr>
              <w:t>人民币户）</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Arial" w:hAnsi="Arial" w:cs="Arial"/>
              </w:rPr>
              <w:t>交通银行杭州西湖支行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331066130018170168114</w:t>
            </w:r>
            <w:r w:rsidRPr="00866ADB">
              <w:rPr>
                <w:rFonts w:ascii="Helvetica Neue" w:hAnsi="Helvetica Neue"/>
              </w:rPr>
              <w:t>（期权业务专用账户且已开通银衍转账）</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Arial" w:hAnsi="Arial" w:cs="Arial"/>
              </w:rPr>
              <w:t>中国邮政储蓄银行东阳市横店镇支行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933001071015200001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南华期货股份有限公司保证金专户</w:t>
            </w:r>
            <w:r w:rsidRPr="00866ADB">
              <w:rPr>
                <w:rFonts w:ascii="Helvetica Neue" w:hAnsi="Helvetica Neue"/>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Arial" w:hAnsi="Arial" w:cs="Arial"/>
              </w:rPr>
              <w:t>中国农业银行东阳横店支行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19636301040021713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33</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建行上海期货支行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31001559100059110002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农行浦东期货大厦支行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03427900048100028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交行期货大厦支行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310066056017911000240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36</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工行期货大厦支行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1001173229081000231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lastRenderedPageBreak/>
              <w:t>37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中行上海期货大厦支行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458548100029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中信银行上海浦电路支行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8110201413811000200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39</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中国民生银行上海期交所支行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636000024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866ADB"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40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中国光大银行上海期交所支行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367801880002884010002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r w:rsidR="002F0F90" w:rsidRPr="00DB31FE" w:rsidTr="00E401EF">
        <w:trPr>
          <w:cantSplit/>
          <w:trHeight w:val="4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jc w:val="center"/>
              <w:rPr>
                <w:rFonts w:ascii="宋体" w:hAnsi="宋体"/>
              </w:rPr>
            </w:pPr>
            <w:r w:rsidRPr="00866ADB">
              <w:rPr>
                <w:rFonts w:ascii="宋体" w:hAnsi="宋体" w:hint="eastAsia"/>
              </w:rPr>
              <w:t>41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南华期货股份有限公司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rPr>
                <w:rFonts w:ascii="Helvetica Neue" w:eastAsia="宋体" w:hAnsi="Helvetica Neue" w:cs="宋体" w:hint="eastAsia"/>
                <w:sz w:val="24"/>
                <w:szCs w:val="24"/>
              </w:rPr>
            </w:pPr>
            <w:r w:rsidRPr="00866ADB">
              <w:rPr>
                <w:rFonts w:ascii="Helvetica Neue" w:hAnsi="Helvetica Neue"/>
              </w:rPr>
              <w:t>浦发银行上海期货大厦支行</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pacing w:after="225"/>
              <w:jc w:val="left"/>
              <w:rPr>
                <w:rFonts w:ascii="Helvetica Neue" w:eastAsia="宋体" w:hAnsi="Helvetica Neue" w:cs="宋体" w:hint="eastAsia"/>
                <w:sz w:val="24"/>
                <w:szCs w:val="24"/>
              </w:rPr>
            </w:pPr>
            <w:r w:rsidRPr="00866ADB">
              <w:rPr>
                <w:rFonts w:ascii="Helvetica Neue" w:hAnsi="Helvetica Neue"/>
              </w:rPr>
              <w:t>971101538010002131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2F0F90" w:rsidRPr="00866ADB" w:rsidRDefault="002F0F90" w:rsidP="00C61BD7">
            <w:pPr>
              <w:snapToGrid w:val="0"/>
              <w:spacing w:line="360" w:lineRule="auto"/>
              <w:rPr>
                <w:rFonts w:ascii="宋体" w:hAnsi="宋体"/>
              </w:rPr>
            </w:pPr>
            <w:r w:rsidRPr="00866ADB">
              <w:rPr>
                <w:rFonts w:ascii="宋体" w:hAnsi="宋体" w:hint="eastAsia"/>
              </w:rPr>
              <w:t>南华总部（中金所）</w:t>
            </w:r>
          </w:p>
        </w:tc>
      </w:tr>
    </w:tbl>
    <w:p w:rsidR="004E03A8" w:rsidRPr="007C1ADF" w:rsidRDefault="004E03A8" w:rsidP="007C1ADF">
      <w:pPr>
        <w:pStyle w:val="2"/>
      </w:pPr>
      <w:bookmarkStart w:id="3" w:name="_Toc87280922"/>
      <w:r w:rsidRPr="007C1ADF">
        <w:rPr>
          <w:rFonts w:hint="eastAsia"/>
        </w:rPr>
        <w:t>2</w:t>
      </w:r>
      <w:r w:rsidRPr="007C1ADF">
        <w:rPr>
          <w:rFonts w:hint="eastAsia"/>
        </w:rPr>
        <w:t>、期货保证金安全存管方式</w:t>
      </w:r>
      <w:bookmarkEnd w:id="3"/>
    </w:p>
    <w:p w:rsidR="004E03A8" w:rsidRPr="00EB4D30" w:rsidRDefault="004E03A8" w:rsidP="004E03A8">
      <w:pPr>
        <w:spacing w:afterLines="50" w:after="156" w:line="560" w:lineRule="exact"/>
        <w:jc w:val="left"/>
      </w:pPr>
      <w:r w:rsidRPr="00EB4D30">
        <w:rPr>
          <w:rFonts w:hint="eastAsia"/>
        </w:rPr>
        <w:t>（</w:t>
      </w:r>
      <w:r w:rsidRPr="00EB4D30">
        <w:rPr>
          <w:rFonts w:hint="eastAsia"/>
        </w:rPr>
        <w:t>1</w:t>
      </w:r>
      <w:r w:rsidRPr="00EB4D30">
        <w:rPr>
          <w:rFonts w:hint="eastAsia"/>
        </w:rPr>
        <w:t>）投资者从事期货交易，应当在期货结算银行（</w:t>
      </w:r>
      <w:r w:rsidR="00F21C02" w:rsidRPr="00EB4D30">
        <w:rPr>
          <w:rFonts w:hint="eastAsia"/>
        </w:rPr>
        <w:t>工商银行、建设银行、交通银行、农业银行、中国银行、光大银行、民生银行、浦发银行、兴业银行、中信银行、招商银行、广发银行、平安银行、邮储银行</w:t>
      </w:r>
      <w:r w:rsidRPr="00EB4D30">
        <w:rPr>
          <w:rFonts w:hint="eastAsia"/>
        </w:rPr>
        <w:t>）开立用于期货交易出入金的银行结算账户（以下简称“期货结算账户”）或选择已在结算银行开立的银行结算账户登记为期货结算账户。投资者可在我司登记多家结算银行的期货结算账户。</w:t>
      </w:r>
    </w:p>
    <w:p w:rsidR="004E03A8" w:rsidRPr="00EB4D30" w:rsidRDefault="004E03A8" w:rsidP="004E03A8">
      <w:pPr>
        <w:spacing w:afterLines="50" w:after="156" w:line="560" w:lineRule="exact"/>
        <w:jc w:val="left"/>
      </w:pPr>
      <w:r w:rsidRPr="00EB4D30">
        <w:rPr>
          <w:rFonts w:hint="eastAsia"/>
        </w:rPr>
        <w:t>（</w:t>
      </w:r>
      <w:r w:rsidRPr="00EB4D30">
        <w:rPr>
          <w:rFonts w:hint="eastAsia"/>
        </w:rPr>
        <w:t>2</w:t>
      </w:r>
      <w:r w:rsidRPr="00EB4D30">
        <w:rPr>
          <w:rFonts w:hint="eastAsia"/>
        </w:rPr>
        <w:t>）投资者使用期货结算账户办理期货交易出入金之前，应当在期货公司登记。</w:t>
      </w:r>
    </w:p>
    <w:p w:rsidR="00580B9D" w:rsidRPr="00EB4D30" w:rsidRDefault="004E03A8" w:rsidP="00B547CA">
      <w:pPr>
        <w:spacing w:afterLines="50" w:after="156" w:line="560" w:lineRule="exact"/>
        <w:jc w:val="left"/>
      </w:pPr>
      <w:r w:rsidRPr="00EB4D30">
        <w:rPr>
          <w:rFonts w:hint="eastAsia"/>
        </w:rPr>
        <w:t>（</w:t>
      </w:r>
      <w:r w:rsidRPr="00EB4D30">
        <w:rPr>
          <w:rFonts w:hint="eastAsia"/>
        </w:rPr>
        <w:t>3</w:t>
      </w:r>
      <w:r w:rsidRPr="00EB4D30">
        <w:rPr>
          <w:rFonts w:hint="eastAsia"/>
        </w:rPr>
        <w:t>）投资者用于期货交易的出入金应当通过开设在同一期货结算银行的投资者期货结算账户和期货公司保证金账户以同行转账的形式办理，不得通过现金收付或期货公司内部划转的方式办理出入金。</w:t>
      </w:r>
    </w:p>
    <w:p w:rsidR="00915FAC" w:rsidRPr="00EB4D30" w:rsidRDefault="004E03A8" w:rsidP="00EB4D30">
      <w:pPr>
        <w:spacing w:afterLines="50" w:after="156" w:line="560" w:lineRule="exact"/>
        <w:jc w:val="left"/>
        <w:rPr>
          <w:sz w:val="28"/>
          <w:szCs w:val="28"/>
        </w:rPr>
      </w:pPr>
      <w:bookmarkStart w:id="4" w:name="_Toc87280923"/>
      <w:r w:rsidRPr="00EB4D30">
        <w:rPr>
          <w:rFonts w:hint="eastAsia"/>
          <w:sz w:val="28"/>
          <w:szCs w:val="28"/>
        </w:rPr>
        <w:t>三、客户期货开户流程</w:t>
      </w:r>
      <w:bookmarkEnd w:id="4"/>
    </w:p>
    <w:p w:rsidR="00060385" w:rsidRDefault="00EA3F30" w:rsidP="00060385">
      <w:pPr>
        <w:rPr>
          <w:sz w:val="28"/>
          <w:szCs w:val="28"/>
        </w:rPr>
      </w:pPr>
      <w:r>
        <w:rPr>
          <w:rFonts w:hint="eastAsia"/>
          <w:sz w:val="28"/>
          <w:szCs w:val="28"/>
        </w:rPr>
        <w:lastRenderedPageBreak/>
        <w:t>1</w:t>
      </w:r>
      <w:r>
        <w:rPr>
          <w:rFonts w:hint="eastAsia"/>
          <w:sz w:val="28"/>
          <w:szCs w:val="28"/>
        </w:rPr>
        <w:t>、商品期货开户</w:t>
      </w:r>
      <w:r w:rsidR="00333B67">
        <w:rPr>
          <w:rFonts w:hint="eastAsia"/>
          <w:sz w:val="28"/>
          <w:szCs w:val="28"/>
        </w:rPr>
        <w:t>流程</w:t>
      </w:r>
    </w:p>
    <w:p w:rsidR="00EA3F30" w:rsidRPr="00EB4D30" w:rsidRDefault="00060385" w:rsidP="00EB4D30">
      <w:pPr>
        <w:spacing w:line="360" w:lineRule="auto"/>
        <w:ind w:firstLineChars="200" w:firstLine="420"/>
      </w:pPr>
      <w:r w:rsidRPr="00EB4D30">
        <w:rPr>
          <w:noProof/>
        </w:rPr>
        <w:drawing>
          <wp:anchor distT="0" distB="0" distL="114300" distR="114300" simplePos="0" relativeHeight="251658240" behindDoc="0" locked="0" layoutInCell="1" allowOverlap="1" wp14:anchorId="50467D1C" wp14:editId="3B3A8A5E">
            <wp:simplePos x="0" y="0"/>
            <wp:positionH relativeFrom="column">
              <wp:posOffset>464820</wp:posOffset>
            </wp:positionH>
            <wp:positionV relativeFrom="paragraph">
              <wp:posOffset>2038985</wp:posOffset>
            </wp:positionV>
            <wp:extent cx="4654550" cy="5038725"/>
            <wp:effectExtent l="0" t="0" r="0" b="9525"/>
            <wp:wrapTopAndBottom/>
            <wp:docPr id="2" name="图片 2" descr="E:\Program Files (x86)\Tencent\WXWork\1688853791402587\WeDrive\南华期货\客服中心相关文件及通知\客服中心开户资料及相关通知\17投资者保护园地参考公示内容\流程图\开户流程图\商品期货开户流程图(2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Files (x86)\Tencent\WXWork\1688853791402587\WeDrive\南华期货\客服中心相关文件及通知\客服中心开户资料及相关通知\17投资者保护园地参考公示内容\流程图\开户流程图\商品期货开户流程图(2019.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600" b="10206"/>
                    <a:stretch/>
                  </pic:blipFill>
                  <pic:spPr bwMode="auto">
                    <a:xfrm>
                      <a:off x="0" y="0"/>
                      <a:ext cx="4654550" cy="503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F30" w:rsidRPr="00EB4D30">
        <w:rPr>
          <w:rFonts w:hint="eastAsia"/>
        </w:rPr>
        <w:t>自然人商品期货开户可通过线上或者现场进行办理，线上手机开户需下载“南华期货”或“期货开户云”</w:t>
      </w:r>
      <w:r w:rsidR="00EA3F30" w:rsidRPr="00EB4D30">
        <w:rPr>
          <w:rFonts w:hint="eastAsia"/>
        </w:rPr>
        <w:t>APP</w:t>
      </w:r>
      <w:r w:rsidR="00EA3F30" w:rsidRPr="00EB4D30">
        <w:rPr>
          <w:rFonts w:hint="eastAsia"/>
        </w:rPr>
        <w:t>，携带本人身份证原件及银行借记卡；</w:t>
      </w:r>
      <w:r w:rsidRPr="00EB4D30">
        <w:rPr>
          <w:rFonts w:hint="eastAsia"/>
        </w:rPr>
        <w:t>电脑开户登录南华期货官网“马上开户”，除携带本人身份证原件及银行借记卡，还需配备耳机、耳麦和摄像头。</w:t>
      </w:r>
      <w:r w:rsidR="00EA3F30" w:rsidRPr="00EB4D30">
        <w:rPr>
          <w:rFonts w:hint="eastAsia"/>
        </w:rPr>
        <w:t>机构商品期货开户须开户经办人现场办理。</w:t>
      </w:r>
      <w:r w:rsidRPr="00EB4D30">
        <w:rPr>
          <w:rFonts w:hint="eastAsia"/>
        </w:rPr>
        <w:t>商品期货开户流程具体如下图：</w:t>
      </w:r>
    </w:p>
    <w:p w:rsidR="00060385" w:rsidRPr="00EA3F30" w:rsidRDefault="008D1156" w:rsidP="008D1156">
      <w:pPr>
        <w:rPr>
          <w:sz w:val="28"/>
          <w:szCs w:val="28"/>
        </w:rPr>
      </w:pPr>
      <w:r>
        <w:rPr>
          <w:rFonts w:hint="eastAsia"/>
          <w:sz w:val="28"/>
          <w:szCs w:val="28"/>
        </w:rPr>
        <w:t>2</w:t>
      </w:r>
      <w:r>
        <w:rPr>
          <w:rFonts w:hint="eastAsia"/>
          <w:sz w:val="28"/>
          <w:szCs w:val="28"/>
        </w:rPr>
        <w:t>、金融期货（期权）</w:t>
      </w:r>
      <w:r w:rsidR="00333B67">
        <w:rPr>
          <w:rFonts w:hint="eastAsia"/>
          <w:sz w:val="28"/>
          <w:szCs w:val="28"/>
        </w:rPr>
        <w:t>开户流程</w:t>
      </w:r>
    </w:p>
    <w:p w:rsidR="00333B67" w:rsidRDefault="008D1156" w:rsidP="00B547CA">
      <w:pPr>
        <w:spacing w:afterLines="50" w:after="156" w:line="560" w:lineRule="exact"/>
        <w:jc w:val="left"/>
        <w:rPr>
          <w:sz w:val="28"/>
          <w:szCs w:val="28"/>
        </w:rPr>
      </w:pPr>
      <w:r>
        <w:rPr>
          <w:noProof/>
          <w:sz w:val="28"/>
          <w:szCs w:val="28"/>
        </w:rPr>
        <w:lastRenderedPageBreak/>
        <w:drawing>
          <wp:anchor distT="0" distB="0" distL="114300" distR="114300" simplePos="0" relativeHeight="251660288" behindDoc="1" locked="0" layoutInCell="1" allowOverlap="1" wp14:anchorId="1BF1BE9D" wp14:editId="242A42E9">
            <wp:simplePos x="0" y="0"/>
            <wp:positionH relativeFrom="column">
              <wp:posOffset>1270</wp:posOffset>
            </wp:positionH>
            <wp:positionV relativeFrom="paragraph">
              <wp:posOffset>142240</wp:posOffset>
            </wp:positionV>
            <wp:extent cx="5513705" cy="6038850"/>
            <wp:effectExtent l="0" t="0" r="0" b="0"/>
            <wp:wrapTopAndBottom/>
            <wp:docPr id="4" name="图片 4" descr="E:\Program Files (x86)\Tencent\WXWork\1688853791402587\WeDrive\南华期货\客服中心相关文件及通知\客服中心开户资料及相关通知\17投资者保护园地参考公示内容\流程图\开户流程图\金融期货开户流程图(2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gram Files (x86)\Tencent\WXWork\1688853791402587\WeDrive\南华期货\客服中心相关文件及通知\客服中心开户资料及相关通知\17投资者保护园地参考公示内容\流程图\开户流程图\金融期货开户流程图(2019.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277" b="9677"/>
                    <a:stretch/>
                  </pic:blipFill>
                  <pic:spPr bwMode="auto">
                    <a:xfrm>
                      <a:off x="0" y="0"/>
                      <a:ext cx="5513705" cy="603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B67" w:rsidRDefault="00333B67">
      <w:pPr>
        <w:widowControl/>
        <w:jc w:val="left"/>
        <w:rPr>
          <w:sz w:val="28"/>
          <w:szCs w:val="28"/>
        </w:rPr>
      </w:pPr>
      <w:r>
        <w:rPr>
          <w:sz w:val="28"/>
          <w:szCs w:val="28"/>
        </w:rPr>
        <w:br w:type="page"/>
      </w:r>
    </w:p>
    <w:p w:rsidR="00333B67" w:rsidRPr="00B547CA" w:rsidRDefault="009F237B" w:rsidP="00B547CA">
      <w:pPr>
        <w:spacing w:afterLines="50" w:after="156" w:line="560" w:lineRule="exact"/>
        <w:jc w:val="left"/>
        <w:rPr>
          <w:sz w:val="28"/>
          <w:szCs w:val="28"/>
        </w:rPr>
      </w:pPr>
      <w:r>
        <w:rPr>
          <w:noProof/>
          <w:sz w:val="28"/>
          <w:szCs w:val="28"/>
        </w:rPr>
        <w:lastRenderedPageBreak/>
        <w:drawing>
          <wp:anchor distT="0" distB="0" distL="114300" distR="114300" simplePos="0" relativeHeight="251661312" behindDoc="0" locked="0" layoutInCell="1" allowOverlap="1" wp14:anchorId="04EB344E" wp14:editId="4E4237DA">
            <wp:simplePos x="0" y="0"/>
            <wp:positionH relativeFrom="column">
              <wp:posOffset>-6985</wp:posOffset>
            </wp:positionH>
            <wp:positionV relativeFrom="paragraph">
              <wp:posOffset>528955</wp:posOffset>
            </wp:positionV>
            <wp:extent cx="5513705" cy="5972175"/>
            <wp:effectExtent l="0" t="0" r="0" b="9525"/>
            <wp:wrapTopAndBottom/>
            <wp:docPr id="5" name="图片 5" descr="E:\Program Files (x86)\Tencent\WXWork\1688853791402587\WeDrive\南华期货\客服中心相关文件及通知\客服中心开户资料及相关通知\17投资者保护园地参考公示内容\流程图\开户流程图\特定品种和期权业务申请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gram Files (x86)\Tencent\WXWork\1688853791402587\WeDrive\南华期货\客服中心相关文件及通知\客服中心开户资料及相关通知\17投资者保护园地参考公示内容\流程图\开户流程图\特定品种和期权业务申请流程图.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047" b="10715"/>
                    <a:stretch/>
                  </pic:blipFill>
                  <pic:spPr bwMode="auto">
                    <a:xfrm>
                      <a:off x="0" y="0"/>
                      <a:ext cx="5513705" cy="597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B67">
        <w:rPr>
          <w:rFonts w:hint="eastAsia"/>
          <w:sz w:val="28"/>
          <w:szCs w:val="28"/>
        </w:rPr>
        <w:t>3</w:t>
      </w:r>
      <w:r w:rsidR="00333B67">
        <w:rPr>
          <w:rFonts w:hint="eastAsia"/>
          <w:sz w:val="28"/>
          <w:szCs w:val="28"/>
        </w:rPr>
        <w:t>、特定品种和期权业务开户流程</w:t>
      </w:r>
    </w:p>
    <w:p w:rsidR="00B529C2" w:rsidRDefault="004E03A8" w:rsidP="00BD2C79">
      <w:pPr>
        <w:pStyle w:val="1"/>
        <w:spacing w:beforeLines="100" w:before="312" w:afterLines="50" w:after="156" w:line="560" w:lineRule="exact"/>
      </w:pPr>
      <w:bookmarkStart w:id="5" w:name="_Toc87280924"/>
      <w:r w:rsidRPr="004E03A8">
        <w:rPr>
          <w:rFonts w:hint="eastAsia"/>
        </w:rPr>
        <w:t>四、客户期货交易流程</w:t>
      </w:r>
      <w:bookmarkEnd w:id="5"/>
    </w:p>
    <w:p w:rsidR="004E03A8" w:rsidRPr="00EB4D30" w:rsidRDefault="00EB4D30" w:rsidP="002B7347">
      <w:pPr>
        <w:spacing w:afterLines="50" w:after="156" w:line="360" w:lineRule="auto"/>
        <w:jc w:val="left"/>
      </w:pPr>
      <w:r w:rsidRPr="00EB4D30">
        <w:rPr>
          <w:rFonts w:hint="eastAsia"/>
        </w:rPr>
        <w:t>南华期货</w:t>
      </w:r>
      <w:r w:rsidR="004E03A8" w:rsidRPr="00EB4D30">
        <w:rPr>
          <w:rFonts w:hint="eastAsia"/>
        </w:rPr>
        <w:t>为客户提供如下两种下单方式：</w:t>
      </w:r>
    </w:p>
    <w:p w:rsidR="004E03A8" w:rsidRPr="00EB4D30" w:rsidRDefault="004E03A8" w:rsidP="002B7347">
      <w:pPr>
        <w:spacing w:afterLines="50" w:after="156" w:line="360" w:lineRule="auto"/>
        <w:jc w:val="left"/>
      </w:pPr>
      <w:r w:rsidRPr="00EB4D30">
        <w:rPr>
          <w:rFonts w:hint="eastAsia"/>
        </w:rPr>
        <w:t>1</w:t>
      </w:r>
      <w:r w:rsidRPr="00EB4D30">
        <w:rPr>
          <w:rFonts w:hint="eastAsia"/>
        </w:rPr>
        <w:t>、网上交易，下载正式交易程序，并安装；（推荐）</w:t>
      </w:r>
    </w:p>
    <w:p w:rsidR="004E03A8" w:rsidRPr="00EB4D30" w:rsidRDefault="004E03A8" w:rsidP="002B7347">
      <w:pPr>
        <w:spacing w:afterLines="50" w:after="156" w:line="360" w:lineRule="auto"/>
        <w:jc w:val="left"/>
      </w:pPr>
      <w:r w:rsidRPr="00EB4D30">
        <w:rPr>
          <w:rFonts w:hint="eastAsia"/>
        </w:rPr>
        <w:t>2</w:t>
      </w:r>
      <w:r w:rsidRPr="00EB4D30">
        <w:rPr>
          <w:rFonts w:hint="eastAsia"/>
        </w:rPr>
        <w:t>、人工电话报单。</w:t>
      </w:r>
      <w:r w:rsidR="00B611C6">
        <w:rPr>
          <w:rFonts w:hint="eastAsia"/>
        </w:rPr>
        <w:t>见南华期货客服电话：</w:t>
      </w:r>
      <w:r w:rsidR="00B611C6" w:rsidRPr="00EB4D30">
        <w:t>400-8888-910</w:t>
      </w:r>
      <w:bookmarkStart w:id="6" w:name="_GoBack"/>
      <w:bookmarkEnd w:id="6"/>
    </w:p>
    <w:p w:rsidR="004E03A8" w:rsidRPr="00EB4D30" w:rsidRDefault="004E03A8" w:rsidP="00BD2C79">
      <w:pPr>
        <w:spacing w:afterLines="50" w:after="156" w:line="560" w:lineRule="exact"/>
        <w:jc w:val="left"/>
      </w:pPr>
      <w:r w:rsidRPr="00EB4D30">
        <w:rPr>
          <w:rFonts w:hint="eastAsia"/>
        </w:rPr>
        <w:lastRenderedPageBreak/>
        <w:t>注：网上交易方式出现故障时，请客户采用电话报单作为应急下单方式。</w:t>
      </w:r>
    </w:p>
    <w:p w:rsidR="00BD2C79" w:rsidRPr="002B7347" w:rsidRDefault="004E03A8" w:rsidP="00EB4D30">
      <w:pPr>
        <w:spacing w:afterLines="50" w:after="156" w:line="560" w:lineRule="exact"/>
        <w:jc w:val="left"/>
        <w:rPr>
          <w:b/>
          <w:sz w:val="28"/>
          <w:szCs w:val="28"/>
        </w:rPr>
      </w:pPr>
      <w:bookmarkStart w:id="7" w:name="_Toc87280925"/>
      <w:r w:rsidRPr="002B7347">
        <w:rPr>
          <w:rFonts w:hint="eastAsia"/>
          <w:b/>
          <w:sz w:val="28"/>
          <w:szCs w:val="28"/>
        </w:rPr>
        <w:t>五、客户期货出入金流程</w:t>
      </w:r>
      <w:bookmarkEnd w:id="7"/>
    </w:p>
    <w:p w:rsidR="004E03A8" w:rsidRPr="00EB4D30" w:rsidRDefault="004E03A8" w:rsidP="002B7347">
      <w:pPr>
        <w:spacing w:afterLines="50" w:after="156" w:line="360" w:lineRule="auto"/>
        <w:jc w:val="left"/>
      </w:pPr>
      <w:r w:rsidRPr="00EB4D30">
        <w:rPr>
          <w:rFonts w:hint="eastAsia"/>
        </w:rPr>
        <w:t>1</w:t>
      </w:r>
      <w:r w:rsidRPr="00EB4D30">
        <w:rPr>
          <w:rFonts w:hint="eastAsia"/>
        </w:rPr>
        <w:t>、入金流程</w:t>
      </w:r>
    </w:p>
    <w:p w:rsidR="00796D41" w:rsidRPr="00EB4D30" w:rsidRDefault="00B62F50" w:rsidP="002B7347">
      <w:pPr>
        <w:spacing w:afterLines="50" w:after="156" w:line="360" w:lineRule="auto"/>
        <w:jc w:val="left"/>
      </w:pPr>
      <w:r w:rsidRPr="00EB4D30">
        <w:rPr>
          <w:rFonts w:hint="eastAsia"/>
        </w:rPr>
        <w:t>投资者入金方式有银期转账、手工入金和网上银行等。</w:t>
      </w:r>
    </w:p>
    <w:p w:rsidR="00B62F50" w:rsidRPr="00EB4D30" w:rsidRDefault="00B62F50" w:rsidP="002B7347">
      <w:pPr>
        <w:spacing w:afterLines="50" w:after="156" w:line="360" w:lineRule="auto"/>
        <w:jc w:val="left"/>
      </w:pPr>
      <w:r w:rsidRPr="00EB4D30">
        <w:rPr>
          <w:rFonts w:hint="eastAsia"/>
        </w:rPr>
        <w:t>（</w:t>
      </w:r>
      <w:r w:rsidRPr="00EB4D30">
        <w:rPr>
          <w:rFonts w:hint="eastAsia"/>
        </w:rPr>
        <w:t>1</w:t>
      </w:r>
      <w:r w:rsidRPr="00EB4D30">
        <w:rPr>
          <w:rFonts w:hint="eastAsia"/>
        </w:rPr>
        <w:t>）银期转账</w:t>
      </w:r>
    </w:p>
    <w:p w:rsidR="00B62F50" w:rsidRPr="00EB4D30" w:rsidRDefault="00B62F50" w:rsidP="002B7347">
      <w:pPr>
        <w:spacing w:afterLines="50" w:after="156" w:line="360" w:lineRule="auto"/>
        <w:jc w:val="left"/>
      </w:pPr>
      <w:r w:rsidRPr="00EB4D30">
        <w:rPr>
          <w:rFonts w:hint="eastAsia"/>
        </w:rPr>
        <w:t>入金时间：交易日</w:t>
      </w:r>
      <w:r w:rsidRPr="00EB4D30">
        <w:rPr>
          <w:rFonts w:hint="eastAsia"/>
        </w:rPr>
        <w:t xml:space="preserve"> 8:30-15:30</w:t>
      </w:r>
      <w:r w:rsidRPr="00EB4D30">
        <w:rPr>
          <w:rFonts w:hint="eastAsia"/>
        </w:rPr>
        <w:t>、</w:t>
      </w:r>
      <w:r w:rsidRPr="00EB4D30">
        <w:rPr>
          <w:rFonts w:hint="eastAsia"/>
        </w:rPr>
        <w:t>20:30-</w:t>
      </w:r>
      <w:r w:rsidRPr="00EB4D30">
        <w:rPr>
          <w:rFonts w:hint="eastAsia"/>
        </w:rPr>
        <w:t>次日</w:t>
      </w:r>
      <w:r w:rsidRPr="00EB4D30">
        <w:rPr>
          <w:rFonts w:hint="eastAsia"/>
        </w:rPr>
        <w:t>2:30</w:t>
      </w:r>
      <w:r w:rsidRPr="00EB4D30">
        <w:rPr>
          <w:rFonts w:hint="eastAsia"/>
        </w:rPr>
        <w:t>；</w:t>
      </w:r>
    </w:p>
    <w:p w:rsidR="00B62F50" w:rsidRPr="00EB4D30" w:rsidRDefault="00B62F50" w:rsidP="002B7347">
      <w:pPr>
        <w:spacing w:afterLines="50" w:after="156" w:line="360" w:lineRule="auto"/>
        <w:jc w:val="left"/>
      </w:pPr>
      <w:r w:rsidRPr="00EB4D30">
        <w:rPr>
          <w:rFonts w:hint="eastAsia"/>
        </w:rPr>
        <w:t>通过银期转账进行资金划转可即时到账。</w:t>
      </w:r>
    </w:p>
    <w:p w:rsidR="00B62F50" w:rsidRPr="00EB4D30" w:rsidRDefault="00B62F50" w:rsidP="002B7347">
      <w:pPr>
        <w:spacing w:afterLines="50" w:after="156" w:line="360" w:lineRule="auto"/>
        <w:jc w:val="left"/>
      </w:pPr>
      <w:r w:rsidRPr="00EB4D30">
        <w:rPr>
          <w:rFonts w:hint="eastAsia"/>
        </w:rPr>
        <w:t>（</w:t>
      </w:r>
      <w:r w:rsidRPr="00EB4D30">
        <w:rPr>
          <w:rFonts w:hint="eastAsia"/>
        </w:rPr>
        <w:t>2</w:t>
      </w:r>
      <w:r w:rsidRPr="00EB4D30">
        <w:rPr>
          <w:rFonts w:hint="eastAsia"/>
        </w:rPr>
        <w:t>）手工入金</w:t>
      </w:r>
    </w:p>
    <w:p w:rsidR="00B62F50" w:rsidRPr="00EB4D30" w:rsidRDefault="00B62F50" w:rsidP="002B7347">
      <w:pPr>
        <w:spacing w:afterLines="50" w:after="156" w:line="360" w:lineRule="auto"/>
        <w:jc w:val="left"/>
      </w:pPr>
      <w:r w:rsidRPr="00EB4D30">
        <w:rPr>
          <w:rFonts w:hint="eastAsia"/>
        </w:rPr>
        <w:t>入金时间：交易日</w:t>
      </w:r>
      <w:r w:rsidRPr="00EB4D30">
        <w:rPr>
          <w:rFonts w:hint="eastAsia"/>
        </w:rPr>
        <w:t xml:space="preserve"> 8:30-1</w:t>
      </w:r>
      <w:r w:rsidR="00F01CFB" w:rsidRPr="00EB4D30">
        <w:rPr>
          <w:rFonts w:hint="eastAsia"/>
        </w:rPr>
        <w:t>6:0</w:t>
      </w:r>
      <w:r w:rsidRPr="00EB4D30">
        <w:rPr>
          <w:rFonts w:hint="eastAsia"/>
        </w:rPr>
        <w:t>0</w:t>
      </w:r>
      <w:r w:rsidRPr="00EB4D30">
        <w:rPr>
          <w:rFonts w:hint="eastAsia"/>
        </w:rPr>
        <w:t>、</w:t>
      </w:r>
      <w:r w:rsidRPr="00EB4D30">
        <w:rPr>
          <w:rFonts w:hint="eastAsia"/>
        </w:rPr>
        <w:t>20:30-</w:t>
      </w:r>
      <w:r w:rsidRPr="00EB4D30">
        <w:rPr>
          <w:rFonts w:hint="eastAsia"/>
        </w:rPr>
        <w:t>次日</w:t>
      </w:r>
      <w:r w:rsidRPr="00EB4D30">
        <w:rPr>
          <w:rFonts w:hint="eastAsia"/>
        </w:rPr>
        <w:t>2:30</w:t>
      </w:r>
      <w:r w:rsidRPr="00EB4D30">
        <w:rPr>
          <w:rFonts w:hint="eastAsia"/>
        </w:rPr>
        <w:t>；</w:t>
      </w:r>
    </w:p>
    <w:p w:rsidR="004E03A8" w:rsidRPr="00EB4D30" w:rsidRDefault="004E03A8" w:rsidP="002B7347">
      <w:pPr>
        <w:spacing w:afterLines="50" w:after="156" w:line="360" w:lineRule="auto"/>
        <w:jc w:val="left"/>
      </w:pPr>
      <w:r w:rsidRPr="00EB4D30">
        <w:rPr>
          <w:rFonts w:hint="eastAsia"/>
        </w:rPr>
        <w:t>2</w:t>
      </w:r>
      <w:r w:rsidRPr="00EB4D30">
        <w:rPr>
          <w:rFonts w:hint="eastAsia"/>
        </w:rPr>
        <w:t>、出金流程</w:t>
      </w:r>
    </w:p>
    <w:p w:rsidR="00796D41" w:rsidRPr="00EB4D30" w:rsidRDefault="006D2FB1" w:rsidP="002B7347">
      <w:pPr>
        <w:spacing w:afterLines="50" w:after="156" w:line="360" w:lineRule="auto"/>
        <w:jc w:val="left"/>
      </w:pPr>
      <w:r w:rsidRPr="00EB4D30">
        <w:rPr>
          <w:rFonts w:hint="eastAsia"/>
        </w:rPr>
        <w:t>投资者出金方式有银期转账、手工入金和网上银行等。</w:t>
      </w:r>
    </w:p>
    <w:p w:rsidR="006D2FB1" w:rsidRPr="00EB4D30" w:rsidRDefault="006D2FB1" w:rsidP="002B7347">
      <w:pPr>
        <w:spacing w:afterLines="50" w:after="156" w:line="360" w:lineRule="auto"/>
        <w:jc w:val="left"/>
      </w:pPr>
      <w:r w:rsidRPr="00EB4D30">
        <w:rPr>
          <w:rFonts w:hint="eastAsia"/>
        </w:rPr>
        <w:t>（</w:t>
      </w:r>
      <w:r w:rsidRPr="00EB4D30">
        <w:rPr>
          <w:rFonts w:hint="eastAsia"/>
        </w:rPr>
        <w:t>1</w:t>
      </w:r>
      <w:r w:rsidRPr="00EB4D30">
        <w:rPr>
          <w:rFonts w:hint="eastAsia"/>
        </w:rPr>
        <w:t>）银期转账</w:t>
      </w:r>
    </w:p>
    <w:p w:rsidR="006D2FB1" w:rsidRPr="00EB4D30" w:rsidRDefault="006D2FB1" w:rsidP="002B7347">
      <w:pPr>
        <w:spacing w:afterLines="50" w:after="156" w:line="360" w:lineRule="auto"/>
        <w:jc w:val="left"/>
      </w:pPr>
      <w:r w:rsidRPr="00EB4D30">
        <w:rPr>
          <w:rFonts w:hint="eastAsia"/>
        </w:rPr>
        <w:t>出金时间：交易日</w:t>
      </w:r>
      <w:r w:rsidRPr="00EB4D30">
        <w:rPr>
          <w:rFonts w:hint="eastAsia"/>
        </w:rPr>
        <w:t xml:space="preserve"> 9:05-15:30</w:t>
      </w:r>
      <w:r w:rsidRPr="00EB4D30">
        <w:rPr>
          <w:rFonts w:hint="eastAsia"/>
        </w:rPr>
        <w:t>；</w:t>
      </w:r>
    </w:p>
    <w:p w:rsidR="006D2FB1" w:rsidRPr="00EB4D30" w:rsidRDefault="006D2FB1" w:rsidP="002B7347">
      <w:pPr>
        <w:spacing w:afterLines="50" w:after="156" w:line="360" w:lineRule="auto"/>
        <w:jc w:val="left"/>
      </w:pPr>
      <w:r w:rsidRPr="00EB4D30">
        <w:rPr>
          <w:rFonts w:hint="eastAsia"/>
        </w:rPr>
        <w:t>通过银期转账进行资金划转可即时到账。</w:t>
      </w:r>
    </w:p>
    <w:p w:rsidR="006D2FB1" w:rsidRPr="00EB4D30" w:rsidRDefault="006D2FB1" w:rsidP="002B7347">
      <w:pPr>
        <w:spacing w:afterLines="50" w:after="156" w:line="360" w:lineRule="auto"/>
        <w:jc w:val="left"/>
      </w:pPr>
      <w:r w:rsidRPr="00EB4D30">
        <w:rPr>
          <w:rFonts w:hint="eastAsia"/>
        </w:rPr>
        <w:t>（</w:t>
      </w:r>
      <w:r w:rsidRPr="00EB4D30">
        <w:rPr>
          <w:rFonts w:hint="eastAsia"/>
        </w:rPr>
        <w:t>2</w:t>
      </w:r>
      <w:r w:rsidRPr="00EB4D30">
        <w:rPr>
          <w:rFonts w:hint="eastAsia"/>
        </w:rPr>
        <w:t>）手工出金</w:t>
      </w:r>
    </w:p>
    <w:p w:rsidR="006D2FB1" w:rsidRPr="00EB4D30" w:rsidRDefault="006D2FB1" w:rsidP="002B7347">
      <w:pPr>
        <w:spacing w:afterLines="50" w:after="156" w:line="360" w:lineRule="auto"/>
        <w:jc w:val="left"/>
      </w:pPr>
      <w:r w:rsidRPr="00EB4D30">
        <w:rPr>
          <w:rFonts w:hint="eastAsia"/>
        </w:rPr>
        <w:t>出金时间：交易日</w:t>
      </w:r>
      <w:r w:rsidRPr="00EB4D30">
        <w:rPr>
          <w:rFonts w:hint="eastAsia"/>
        </w:rPr>
        <w:t>9:05-16:00</w:t>
      </w:r>
    </w:p>
    <w:p w:rsidR="006D2FB1" w:rsidRPr="00EB4D30" w:rsidRDefault="006D2FB1" w:rsidP="002B7347">
      <w:pPr>
        <w:spacing w:afterLines="50" w:after="156" w:line="360" w:lineRule="auto"/>
        <w:jc w:val="left"/>
      </w:pPr>
      <w:r w:rsidRPr="00EB4D30">
        <w:rPr>
          <w:rFonts w:hint="eastAsia"/>
        </w:rPr>
        <w:t>公司收到客户的手工出金申请后，会先对凭证进行审核，再由风控部对账户进行可出金额的复核，复核无误后由结算在系统里进行扣减，最后由财务进行划款。</w:t>
      </w:r>
    </w:p>
    <w:p w:rsidR="00BD2C79" w:rsidRPr="00EB4D30" w:rsidRDefault="004E03A8" w:rsidP="002B7347">
      <w:pPr>
        <w:spacing w:afterLines="50" w:after="156" w:line="360" w:lineRule="auto"/>
        <w:jc w:val="left"/>
      </w:pPr>
      <w:r w:rsidRPr="00EB4D30">
        <w:rPr>
          <w:rFonts w:hint="eastAsia"/>
        </w:rPr>
        <w:t>3</w:t>
      </w:r>
      <w:r w:rsidRPr="00EB4D30">
        <w:rPr>
          <w:rFonts w:hint="eastAsia"/>
        </w:rPr>
        <w:t>、银期转账出入金注意事项</w:t>
      </w:r>
    </w:p>
    <w:p w:rsidR="00F01CFB" w:rsidRPr="00EB4D30" w:rsidRDefault="00F01CFB" w:rsidP="00EB4D30">
      <w:pPr>
        <w:spacing w:afterLines="50" w:after="156" w:line="560" w:lineRule="exact"/>
        <w:ind w:firstLineChars="200" w:firstLine="420"/>
        <w:jc w:val="left"/>
      </w:pPr>
      <w:r w:rsidRPr="00EB4D30">
        <w:rPr>
          <w:rFonts w:hint="eastAsia"/>
        </w:rPr>
        <w:t>客户通过银期转账出金，标准状态下，每日出金次数累计不得超过</w:t>
      </w:r>
      <w:r w:rsidRPr="00EB4D30">
        <w:rPr>
          <w:rFonts w:hint="eastAsia"/>
        </w:rPr>
        <w:t>5</w:t>
      </w:r>
      <w:r w:rsidRPr="00EB4D30">
        <w:rPr>
          <w:rFonts w:hint="eastAsia"/>
        </w:rPr>
        <w:t>次，每天累计出金额不得超过</w:t>
      </w:r>
      <w:r w:rsidRPr="00EB4D30">
        <w:rPr>
          <w:rFonts w:hint="eastAsia"/>
        </w:rPr>
        <w:t>1000</w:t>
      </w:r>
      <w:r w:rsidRPr="00EB4D30">
        <w:rPr>
          <w:rFonts w:hint="eastAsia"/>
        </w:rPr>
        <w:t>万，单笔最大</w:t>
      </w:r>
      <w:r w:rsidRPr="00EB4D30">
        <w:rPr>
          <w:rFonts w:hint="eastAsia"/>
        </w:rPr>
        <w:t>1000</w:t>
      </w:r>
      <w:r w:rsidRPr="00EB4D30">
        <w:rPr>
          <w:rFonts w:hint="eastAsia"/>
        </w:rPr>
        <w:t>万；入金的次数和额度没有限制。银期转帐出金限额如有特</w:t>
      </w:r>
      <w:r w:rsidRPr="00EB4D30">
        <w:rPr>
          <w:rFonts w:hint="eastAsia"/>
        </w:rPr>
        <w:lastRenderedPageBreak/>
        <w:t>殊要求，可以联系客户经理申请调整。</w:t>
      </w:r>
    </w:p>
    <w:p w:rsidR="00BD2C79" w:rsidRDefault="004E03A8" w:rsidP="00BD2C79">
      <w:pPr>
        <w:pStyle w:val="1"/>
        <w:spacing w:beforeLines="100" w:before="312" w:afterLines="50" w:after="156" w:line="560" w:lineRule="exact"/>
      </w:pPr>
      <w:bookmarkStart w:id="8" w:name="_Toc87280926"/>
      <w:r w:rsidRPr="004E03A8">
        <w:rPr>
          <w:rFonts w:hint="eastAsia"/>
        </w:rPr>
        <w:t>六、客户期货交易结算结果的查询方式</w:t>
      </w:r>
      <w:bookmarkEnd w:id="8"/>
    </w:p>
    <w:p w:rsidR="004E03A8" w:rsidRPr="00EB4D30" w:rsidRDefault="004E03A8" w:rsidP="004F68FD">
      <w:pPr>
        <w:spacing w:afterLines="50" w:after="156" w:line="360" w:lineRule="auto"/>
        <w:jc w:val="left"/>
      </w:pPr>
      <w:r w:rsidRPr="00EB4D30">
        <w:rPr>
          <w:rFonts w:hint="eastAsia"/>
        </w:rPr>
        <w:t>1</w:t>
      </w:r>
      <w:r w:rsidRPr="00EB4D30">
        <w:rPr>
          <w:rFonts w:hint="eastAsia"/>
        </w:rPr>
        <w:t>、通过独立第三方的中国期货市场监控中心（</w:t>
      </w:r>
      <w:r w:rsidRPr="00EB4D30">
        <w:rPr>
          <w:rFonts w:hint="eastAsia"/>
        </w:rPr>
        <w:t>www.cfmmc.com)</w:t>
      </w:r>
      <w:r w:rsidRPr="00EB4D30">
        <w:rPr>
          <w:rFonts w:hint="eastAsia"/>
        </w:rPr>
        <w:t>；</w:t>
      </w:r>
    </w:p>
    <w:p w:rsidR="004E03A8" w:rsidRPr="00EB4D30" w:rsidRDefault="004E03A8" w:rsidP="004F68FD">
      <w:pPr>
        <w:spacing w:afterLines="50" w:after="156" w:line="360" w:lineRule="auto"/>
        <w:jc w:val="left"/>
      </w:pPr>
      <w:r w:rsidRPr="00EB4D30">
        <w:rPr>
          <w:rFonts w:hint="eastAsia"/>
        </w:rPr>
        <w:t>2</w:t>
      </w:r>
      <w:r w:rsidRPr="00EB4D30">
        <w:rPr>
          <w:rFonts w:hint="eastAsia"/>
        </w:rPr>
        <w:t>、通过期货公司交易系统终端。</w:t>
      </w:r>
    </w:p>
    <w:p w:rsidR="004E03A8" w:rsidRPr="00EB4D30" w:rsidRDefault="004E03A8" w:rsidP="00EB4D30">
      <w:pPr>
        <w:spacing w:afterLines="50" w:after="156" w:line="560" w:lineRule="exact"/>
        <w:jc w:val="left"/>
        <w:rPr>
          <w:sz w:val="28"/>
          <w:szCs w:val="28"/>
        </w:rPr>
      </w:pPr>
      <w:bookmarkStart w:id="9" w:name="_Toc87280927"/>
      <w:r w:rsidRPr="00EB4D30">
        <w:rPr>
          <w:rFonts w:hint="eastAsia"/>
          <w:sz w:val="28"/>
          <w:szCs w:val="28"/>
        </w:rPr>
        <w:t>七、客服电话</w:t>
      </w:r>
      <w:bookmarkEnd w:id="9"/>
    </w:p>
    <w:p w:rsidR="00796D41" w:rsidRDefault="00EB4D30" w:rsidP="004F68FD">
      <w:pPr>
        <w:spacing w:afterLines="50" w:after="156" w:line="360" w:lineRule="auto"/>
        <w:jc w:val="left"/>
      </w:pPr>
      <w:r w:rsidRPr="00EB4D30">
        <w:rPr>
          <w:rFonts w:hint="eastAsia"/>
        </w:rPr>
        <w:t>南华期货客服电话：</w:t>
      </w:r>
      <w:r w:rsidR="00796D41" w:rsidRPr="00EB4D30">
        <w:t>400-8888-910</w:t>
      </w:r>
    </w:p>
    <w:p w:rsidR="004F68FD" w:rsidRPr="00EB4D30" w:rsidRDefault="004F68FD" w:rsidP="004F68FD">
      <w:pPr>
        <w:spacing w:afterLines="50" w:after="156" w:line="360" w:lineRule="auto"/>
        <w:jc w:val="left"/>
      </w:pPr>
      <w:r w:rsidRPr="00EB4D30">
        <w:rPr>
          <w:rFonts w:hint="eastAsia"/>
        </w:rPr>
        <w:t>华鑫证券客服电话：</w:t>
      </w:r>
      <w:r w:rsidRPr="00EB4D30">
        <w:rPr>
          <w:rFonts w:hint="eastAsia"/>
        </w:rPr>
        <w:t>95323</w:t>
      </w:r>
    </w:p>
    <w:p w:rsidR="004F68FD" w:rsidRPr="004F68FD" w:rsidRDefault="004F68FD" w:rsidP="00796D41">
      <w:pPr>
        <w:spacing w:afterLines="50" w:after="156" w:line="560" w:lineRule="exact"/>
        <w:jc w:val="left"/>
      </w:pPr>
    </w:p>
    <w:sectPr w:rsidR="004F68FD" w:rsidRPr="004F68FD" w:rsidSect="0028699C">
      <w:footerReference w:type="default" r:id="rId12"/>
      <w:pgSz w:w="11906" w:h="16838"/>
      <w:pgMar w:top="1702" w:right="1416" w:bottom="1702"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B5A" w:rsidRDefault="006C1B5A" w:rsidP="00C61F68">
      <w:r>
        <w:separator/>
      </w:r>
    </w:p>
  </w:endnote>
  <w:endnote w:type="continuationSeparator" w:id="0">
    <w:p w:rsidR="006C1B5A" w:rsidRDefault="006C1B5A" w:rsidP="00C6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227851"/>
      <w:docPartObj>
        <w:docPartGallery w:val="Page Numbers (Bottom of Page)"/>
        <w:docPartUnique/>
      </w:docPartObj>
    </w:sdtPr>
    <w:sdtEndPr>
      <w:rPr>
        <w:sz w:val="28"/>
        <w:szCs w:val="28"/>
      </w:rPr>
    </w:sdtEndPr>
    <w:sdtContent>
      <w:p w:rsidR="00F616A1" w:rsidRPr="00CE6B5B" w:rsidRDefault="00F616A1">
        <w:pPr>
          <w:pStyle w:val="a4"/>
          <w:jc w:val="right"/>
          <w:rPr>
            <w:sz w:val="28"/>
            <w:szCs w:val="28"/>
          </w:rPr>
        </w:pPr>
        <w:r w:rsidRPr="00CE6B5B">
          <w:rPr>
            <w:sz w:val="28"/>
            <w:szCs w:val="28"/>
          </w:rPr>
          <w:fldChar w:fldCharType="begin"/>
        </w:r>
        <w:r w:rsidRPr="00CE6B5B">
          <w:rPr>
            <w:sz w:val="28"/>
            <w:szCs w:val="28"/>
          </w:rPr>
          <w:instrText>PAGE   \* MERGEFORMAT</w:instrText>
        </w:r>
        <w:r w:rsidRPr="00CE6B5B">
          <w:rPr>
            <w:sz w:val="28"/>
            <w:szCs w:val="28"/>
          </w:rPr>
          <w:fldChar w:fldCharType="separate"/>
        </w:r>
        <w:r w:rsidR="002B7347" w:rsidRPr="002B7347">
          <w:rPr>
            <w:noProof/>
            <w:sz w:val="28"/>
            <w:szCs w:val="28"/>
            <w:lang w:val="zh-CN"/>
          </w:rPr>
          <w:t>1</w:t>
        </w:r>
        <w:r w:rsidRPr="00CE6B5B">
          <w:rPr>
            <w:sz w:val="28"/>
            <w:szCs w:val="28"/>
          </w:rPr>
          <w:fldChar w:fldCharType="end"/>
        </w:r>
      </w:p>
    </w:sdtContent>
  </w:sdt>
  <w:p w:rsidR="00F616A1" w:rsidRDefault="00F616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B5A" w:rsidRDefault="006C1B5A" w:rsidP="00C61F68">
      <w:r>
        <w:separator/>
      </w:r>
    </w:p>
  </w:footnote>
  <w:footnote w:type="continuationSeparator" w:id="0">
    <w:p w:rsidR="006C1B5A" w:rsidRDefault="006C1B5A" w:rsidP="00C61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F5BA1"/>
    <w:multiLevelType w:val="hybridMultilevel"/>
    <w:tmpl w:val="A0CE890E"/>
    <w:lvl w:ilvl="0" w:tplc="26E695A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B47"/>
    <w:rsid w:val="00016315"/>
    <w:rsid w:val="0002551A"/>
    <w:rsid w:val="00030654"/>
    <w:rsid w:val="000521BB"/>
    <w:rsid w:val="00056267"/>
    <w:rsid w:val="00060385"/>
    <w:rsid w:val="00062382"/>
    <w:rsid w:val="0007194C"/>
    <w:rsid w:val="00077815"/>
    <w:rsid w:val="00082ED8"/>
    <w:rsid w:val="00084946"/>
    <w:rsid w:val="00091D42"/>
    <w:rsid w:val="00091D90"/>
    <w:rsid w:val="00092A5E"/>
    <w:rsid w:val="000961DC"/>
    <w:rsid w:val="000A4075"/>
    <w:rsid w:val="000A5228"/>
    <w:rsid w:val="000A627E"/>
    <w:rsid w:val="000A64A9"/>
    <w:rsid w:val="000B1AD0"/>
    <w:rsid w:val="000B5336"/>
    <w:rsid w:val="000B69E6"/>
    <w:rsid w:val="000B6BD5"/>
    <w:rsid w:val="000C6C5C"/>
    <w:rsid w:val="000E2ADE"/>
    <w:rsid w:val="000E7F36"/>
    <w:rsid w:val="000F1413"/>
    <w:rsid w:val="000F1A9E"/>
    <w:rsid w:val="000F25C8"/>
    <w:rsid w:val="000F7063"/>
    <w:rsid w:val="00103988"/>
    <w:rsid w:val="00105715"/>
    <w:rsid w:val="00110755"/>
    <w:rsid w:val="00111FA2"/>
    <w:rsid w:val="00131591"/>
    <w:rsid w:val="0013280B"/>
    <w:rsid w:val="00143187"/>
    <w:rsid w:val="0014500E"/>
    <w:rsid w:val="00151713"/>
    <w:rsid w:val="00173AA6"/>
    <w:rsid w:val="0018264E"/>
    <w:rsid w:val="0019350F"/>
    <w:rsid w:val="001A379B"/>
    <w:rsid w:val="001B2C42"/>
    <w:rsid w:val="001D5B83"/>
    <w:rsid w:val="001E5B03"/>
    <w:rsid w:val="001F0942"/>
    <w:rsid w:val="00212DED"/>
    <w:rsid w:val="0022655A"/>
    <w:rsid w:val="002438BC"/>
    <w:rsid w:val="00257A4F"/>
    <w:rsid w:val="0028151B"/>
    <w:rsid w:val="0028317D"/>
    <w:rsid w:val="0028699C"/>
    <w:rsid w:val="002915E8"/>
    <w:rsid w:val="002A46CE"/>
    <w:rsid w:val="002B3595"/>
    <w:rsid w:val="002B7347"/>
    <w:rsid w:val="002C4E41"/>
    <w:rsid w:val="002D10EF"/>
    <w:rsid w:val="002D15C9"/>
    <w:rsid w:val="002D2F09"/>
    <w:rsid w:val="002F0F90"/>
    <w:rsid w:val="002F1200"/>
    <w:rsid w:val="002F351A"/>
    <w:rsid w:val="002F7003"/>
    <w:rsid w:val="00304C2D"/>
    <w:rsid w:val="00307326"/>
    <w:rsid w:val="00316FD7"/>
    <w:rsid w:val="00327403"/>
    <w:rsid w:val="00332A30"/>
    <w:rsid w:val="00333B67"/>
    <w:rsid w:val="00337070"/>
    <w:rsid w:val="003419E7"/>
    <w:rsid w:val="003549D4"/>
    <w:rsid w:val="00354CA9"/>
    <w:rsid w:val="00363DE2"/>
    <w:rsid w:val="00373486"/>
    <w:rsid w:val="00377F7B"/>
    <w:rsid w:val="00386A1F"/>
    <w:rsid w:val="00392310"/>
    <w:rsid w:val="003946A3"/>
    <w:rsid w:val="003B6930"/>
    <w:rsid w:val="003B7A40"/>
    <w:rsid w:val="003B7ABF"/>
    <w:rsid w:val="003C6483"/>
    <w:rsid w:val="003D4550"/>
    <w:rsid w:val="004139EB"/>
    <w:rsid w:val="00413C70"/>
    <w:rsid w:val="0041513A"/>
    <w:rsid w:val="004376FE"/>
    <w:rsid w:val="004409F0"/>
    <w:rsid w:val="00443630"/>
    <w:rsid w:val="004518FF"/>
    <w:rsid w:val="00465169"/>
    <w:rsid w:val="00466D06"/>
    <w:rsid w:val="00491322"/>
    <w:rsid w:val="0049693E"/>
    <w:rsid w:val="004978F6"/>
    <w:rsid w:val="004B6729"/>
    <w:rsid w:val="004C22DC"/>
    <w:rsid w:val="004D06B8"/>
    <w:rsid w:val="004E03A8"/>
    <w:rsid w:val="004E33C9"/>
    <w:rsid w:val="004E63D3"/>
    <w:rsid w:val="004F43E4"/>
    <w:rsid w:val="004F5900"/>
    <w:rsid w:val="004F68FD"/>
    <w:rsid w:val="00505DCC"/>
    <w:rsid w:val="00511DA4"/>
    <w:rsid w:val="00532E9D"/>
    <w:rsid w:val="005335CE"/>
    <w:rsid w:val="0055617F"/>
    <w:rsid w:val="00571F4B"/>
    <w:rsid w:val="005775AB"/>
    <w:rsid w:val="00580B9D"/>
    <w:rsid w:val="00590B91"/>
    <w:rsid w:val="005950FC"/>
    <w:rsid w:val="005A1698"/>
    <w:rsid w:val="005B196A"/>
    <w:rsid w:val="005B3D46"/>
    <w:rsid w:val="005B4CBB"/>
    <w:rsid w:val="005D1502"/>
    <w:rsid w:val="005D1933"/>
    <w:rsid w:val="005D53F3"/>
    <w:rsid w:val="005D595B"/>
    <w:rsid w:val="005E6FE9"/>
    <w:rsid w:val="005F731B"/>
    <w:rsid w:val="005F743C"/>
    <w:rsid w:val="00615C06"/>
    <w:rsid w:val="00620157"/>
    <w:rsid w:val="00620F2C"/>
    <w:rsid w:val="00645770"/>
    <w:rsid w:val="00650936"/>
    <w:rsid w:val="00653DFB"/>
    <w:rsid w:val="006545CB"/>
    <w:rsid w:val="006565BD"/>
    <w:rsid w:val="00667806"/>
    <w:rsid w:val="006A0F1A"/>
    <w:rsid w:val="006A13DE"/>
    <w:rsid w:val="006A25F3"/>
    <w:rsid w:val="006A53B7"/>
    <w:rsid w:val="006A7BBA"/>
    <w:rsid w:val="006B16B9"/>
    <w:rsid w:val="006C0BC0"/>
    <w:rsid w:val="006C1B5A"/>
    <w:rsid w:val="006C4D73"/>
    <w:rsid w:val="006D2FB1"/>
    <w:rsid w:val="006D61C5"/>
    <w:rsid w:val="006E40A9"/>
    <w:rsid w:val="00743BE0"/>
    <w:rsid w:val="00745B6C"/>
    <w:rsid w:val="00752BE5"/>
    <w:rsid w:val="00760162"/>
    <w:rsid w:val="00760CEB"/>
    <w:rsid w:val="0076277A"/>
    <w:rsid w:val="00767DF0"/>
    <w:rsid w:val="007712B7"/>
    <w:rsid w:val="00791AAB"/>
    <w:rsid w:val="00791EC1"/>
    <w:rsid w:val="00796D41"/>
    <w:rsid w:val="007B6D59"/>
    <w:rsid w:val="007C1ADF"/>
    <w:rsid w:val="007D4488"/>
    <w:rsid w:val="007D785D"/>
    <w:rsid w:val="007F2E93"/>
    <w:rsid w:val="00802182"/>
    <w:rsid w:val="00803DEE"/>
    <w:rsid w:val="00811978"/>
    <w:rsid w:val="00813809"/>
    <w:rsid w:val="0082108C"/>
    <w:rsid w:val="00846AC6"/>
    <w:rsid w:val="00853B47"/>
    <w:rsid w:val="008574BC"/>
    <w:rsid w:val="00861277"/>
    <w:rsid w:val="008639C9"/>
    <w:rsid w:val="008645BF"/>
    <w:rsid w:val="00866F2F"/>
    <w:rsid w:val="008726E3"/>
    <w:rsid w:val="0087601C"/>
    <w:rsid w:val="0088102E"/>
    <w:rsid w:val="00892203"/>
    <w:rsid w:val="0089448B"/>
    <w:rsid w:val="008A0939"/>
    <w:rsid w:val="008A402C"/>
    <w:rsid w:val="008B318E"/>
    <w:rsid w:val="008B5B61"/>
    <w:rsid w:val="008C2E9A"/>
    <w:rsid w:val="008C50E1"/>
    <w:rsid w:val="008D1156"/>
    <w:rsid w:val="008F6A22"/>
    <w:rsid w:val="00903866"/>
    <w:rsid w:val="00915FAC"/>
    <w:rsid w:val="00923BED"/>
    <w:rsid w:val="00924061"/>
    <w:rsid w:val="00925892"/>
    <w:rsid w:val="009321F1"/>
    <w:rsid w:val="00964C25"/>
    <w:rsid w:val="00971D5B"/>
    <w:rsid w:val="0097335F"/>
    <w:rsid w:val="009927F6"/>
    <w:rsid w:val="009A6B68"/>
    <w:rsid w:val="009B0C9E"/>
    <w:rsid w:val="009C193A"/>
    <w:rsid w:val="009C1D08"/>
    <w:rsid w:val="009C6A68"/>
    <w:rsid w:val="009F165E"/>
    <w:rsid w:val="009F237B"/>
    <w:rsid w:val="009F3223"/>
    <w:rsid w:val="00A03D94"/>
    <w:rsid w:val="00A064A4"/>
    <w:rsid w:val="00A12ED2"/>
    <w:rsid w:val="00A1310E"/>
    <w:rsid w:val="00A13C1B"/>
    <w:rsid w:val="00A16FBD"/>
    <w:rsid w:val="00A35BF4"/>
    <w:rsid w:val="00A44664"/>
    <w:rsid w:val="00A517C7"/>
    <w:rsid w:val="00A72F31"/>
    <w:rsid w:val="00A74312"/>
    <w:rsid w:val="00A91A27"/>
    <w:rsid w:val="00A970EE"/>
    <w:rsid w:val="00AA11A4"/>
    <w:rsid w:val="00AA6CEA"/>
    <w:rsid w:val="00AC0250"/>
    <w:rsid w:val="00AD6349"/>
    <w:rsid w:val="00AE5AC2"/>
    <w:rsid w:val="00AF63CB"/>
    <w:rsid w:val="00B02745"/>
    <w:rsid w:val="00B075BD"/>
    <w:rsid w:val="00B12AC0"/>
    <w:rsid w:val="00B165A7"/>
    <w:rsid w:val="00B24907"/>
    <w:rsid w:val="00B2561C"/>
    <w:rsid w:val="00B27CB6"/>
    <w:rsid w:val="00B30D96"/>
    <w:rsid w:val="00B31D45"/>
    <w:rsid w:val="00B40562"/>
    <w:rsid w:val="00B41042"/>
    <w:rsid w:val="00B47E98"/>
    <w:rsid w:val="00B501D5"/>
    <w:rsid w:val="00B52872"/>
    <w:rsid w:val="00B529C2"/>
    <w:rsid w:val="00B53353"/>
    <w:rsid w:val="00B547CA"/>
    <w:rsid w:val="00B611C6"/>
    <w:rsid w:val="00B62F50"/>
    <w:rsid w:val="00B705AB"/>
    <w:rsid w:val="00B90005"/>
    <w:rsid w:val="00BA050E"/>
    <w:rsid w:val="00BB640D"/>
    <w:rsid w:val="00BB72B3"/>
    <w:rsid w:val="00BD2C79"/>
    <w:rsid w:val="00BD3436"/>
    <w:rsid w:val="00BF5D7F"/>
    <w:rsid w:val="00C208CC"/>
    <w:rsid w:val="00C30616"/>
    <w:rsid w:val="00C32B1C"/>
    <w:rsid w:val="00C364D1"/>
    <w:rsid w:val="00C41650"/>
    <w:rsid w:val="00C41FC2"/>
    <w:rsid w:val="00C41FEB"/>
    <w:rsid w:val="00C44E2B"/>
    <w:rsid w:val="00C51D5E"/>
    <w:rsid w:val="00C61F68"/>
    <w:rsid w:val="00C7035B"/>
    <w:rsid w:val="00C7516C"/>
    <w:rsid w:val="00C77DAA"/>
    <w:rsid w:val="00C87C7E"/>
    <w:rsid w:val="00C94AEA"/>
    <w:rsid w:val="00C97501"/>
    <w:rsid w:val="00CA2140"/>
    <w:rsid w:val="00CA613B"/>
    <w:rsid w:val="00CB56E3"/>
    <w:rsid w:val="00CC5A67"/>
    <w:rsid w:val="00CC5AD1"/>
    <w:rsid w:val="00CE6B5B"/>
    <w:rsid w:val="00CE74A8"/>
    <w:rsid w:val="00CF4A05"/>
    <w:rsid w:val="00D01D99"/>
    <w:rsid w:val="00D060AD"/>
    <w:rsid w:val="00D34280"/>
    <w:rsid w:val="00D36BA5"/>
    <w:rsid w:val="00D52739"/>
    <w:rsid w:val="00D57BFE"/>
    <w:rsid w:val="00D63021"/>
    <w:rsid w:val="00D6720E"/>
    <w:rsid w:val="00D76AE5"/>
    <w:rsid w:val="00D80F8C"/>
    <w:rsid w:val="00D9402C"/>
    <w:rsid w:val="00DA09F9"/>
    <w:rsid w:val="00DA7EC8"/>
    <w:rsid w:val="00DB487E"/>
    <w:rsid w:val="00DC3A31"/>
    <w:rsid w:val="00DC7CD6"/>
    <w:rsid w:val="00DD0C34"/>
    <w:rsid w:val="00DD23BB"/>
    <w:rsid w:val="00DF20C3"/>
    <w:rsid w:val="00E22902"/>
    <w:rsid w:val="00E36633"/>
    <w:rsid w:val="00E401EF"/>
    <w:rsid w:val="00E563C5"/>
    <w:rsid w:val="00E75482"/>
    <w:rsid w:val="00E76A9C"/>
    <w:rsid w:val="00E803EB"/>
    <w:rsid w:val="00E8714B"/>
    <w:rsid w:val="00E8730F"/>
    <w:rsid w:val="00E877A5"/>
    <w:rsid w:val="00E97C10"/>
    <w:rsid w:val="00EA3F30"/>
    <w:rsid w:val="00EA502E"/>
    <w:rsid w:val="00EA60C0"/>
    <w:rsid w:val="00EB45F7"/>
    <w:rsid w:val="00EB4D30"/>
    <w:rsid w:val="00EB6737"/>
    <w:rsid w:val="00EC0831"/>
    <w:rsid w:val="00EC1705"/>
    <w:rsid w:val="00EC3051"/>
    <w:rsid w:val="00EC7F6C"/>
    <w:rsid w:val="00ED4259"/>
    <w:rsid w:val="00EE2830"/>
    <w:rsid w:val="00EE3191"/>
    <w:rsid w:val="00EE3C14"/>
    <w:rsid w:val="00EF07FA"/>
    <w:rsid w:val="00EF2C70"/>
    <w:rsid w:val="00EF3791"/>
    <w:rsid w:val="00F01CFB"/>
    <w:rsid w:val="00F01FCE"/>
    <w:rsid w:val="00F02987"/>
    <w:rsid w:val="00F0402C"/>
    <w:rsid w:val="00F13739"/>
    <w:rsid w:val="00F141F5"/>
    <w:rsid w:val="00F2105A"/>
    <w:rsid w:val="00F21C02"/>
    <w:rsid w:val="00F27C3C"/>
    <w:rsid w:val="00F371CC"/>
    <w:rsid w:val="00F54C00"/>
    <w:rsid w:val="00F57AF8"/>
    <w:rsid w:val="00F616A1"/>
    <w:rsid w:val="00F618B4"/>
    <w:rsid w:val="00F76CDD"/>
    <w:rsid w:val="00F94019"/>
    <w:rsid w:val="00FA016C"/>
    <w:rsid w:val="00FA1E55"/>
    <w:rsid w:val="00FA46D9"/>
    <w:rsid w:val="00FA5CA7"/>
    <w:rsid w:val="00FB3C90"/>
    <w:rsid w:val="00FB48DD"/>
    <w:rsid w:val="00FC7923"/>
    <w:rsid w:val="00FD4233"/>
    <w:rsid w:val="00FE1F92"/>
    <w:rsid w:val="00FF3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2B3"/>
    <w:pPr>
      <w:widowControl w:val="0"/>
      <w:jc w:val="both"/>
    </w:pPr>
  </w:style>
  <w:style w:type="paragraph" w:styleId="1">
    <w:name w:val="heading 1"/>
    <w:basedOn w:val="a"/>
    <w:next w:val="a"/>
    <w:link w:val="1Char"/>
    <w:uiPriority w:val="9"/>
    <w:qFormat/>
    <w:rsid w:val="00E22902"/>
    <w:pPr>
      <w:keepNext/>
      <w:keepLines/>
      <w:spacing w:before="340" w:after="330" w:line="578" w:lineRule="auto"/>
      <w:outlineLvl w:val="0"/>
    </w:pPr>
    <w:rPr>
      <w:b/>
      <w:bCs/>
      <w:kern w:val="44"/>
      <w:sz w:val="28"/>
      <w:szCs w:val="44"/>
    </w:rPr>
  </w:style>
  <w:style w:type="paragraph" w:styleId="2">
    <w:name w:val="heading 2"/>
    <w:basedOn w:val="a"/>
    <w:next w:val="a"/>
    <w:link w:val="2Char"/>
    <w:uiPriority w:val="9"/>
    <w:unhideWhenUsed/>
    <w:qFormat/>
    <w:rsid w:val="0076277A"/>
    <w:pPr>
      <w:keepNext/>
      <w:keepLines/>
      <w:spacing w:line="560" w:lineRule="exact"/>
      <w:outlineLvl w:val="1"/>
    </w:pPr>
    <w:rPr>
      <w:rFonts w:cstheme="majorBidi"/>
      <w:b/>
      <w:bCs/>
      <w:sz w:val="28"/>
      <w:szCs w:val="32"/>
    </w:rPr>
  </w:style>
  <w:style w:type="paragraph" w:styleId="3">
    <w:name w:val="heading 3"/>
    <w:basedOn w:val="a"/>
    <w:next w:val="a"/>
    <w:link w:val="3Char"/>
    <w:uiPriority w:val="9"/>
    <w:unhideWhenUsed/>
    <w:qFormat/>
    <w:rsid w:val="00373486"/>
    <w:pPr>
      <w:keepNext/>
      <w:keepLines/>
      <w:spacing w:line="560" w:lineRule="exact"/>
      <w:jc w:val="left"/>
      <w:outlineLvl w:val="2"/>
    </w:pPr>
    <w:rPr>
      <w:b/>
      <w:bCs/>
      <w:sz w:val="28"/>
      <w:szCs w:val="32"/>
    </w:rPr>
  </w:style>
  <w:style w:type="paragraph" w:styleId="4">
    <w:name w:val="heading 4"/>
    <w:basedOn w:val="a"/>
    <w:next w:val="a"/>
    <w:link w:val="4Char"/>
    <w:uiPriority w:val="9"/>
    <w:unhideWhenUsed/>
    <w:qFormat/>
    <w:rsid w:val="00D5273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1F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1F68"/>
    <w:rPr>
      <w:sz w:val="18"/>
      <w:szCs w:val="18"/>
    </w:rPr>
  </w:style>
  <w:style w:type="paragraph" w:styleId="a4">
    <w:name w:val="footer"/>
    <w:basedOn w:val="a"/>
    <w:link w:val="Char0"/>
    <w:uiPriority w:val="99"/>
    <w:unhideWhenUsed/>
    <w:rsid w:val="00C61F68"/>
    <w:pPr>
      <w:tabs>
        <w:tab w:val="center" w:pos="4153"/>
        <w:tab w:val="right" w:pos="8306"/>
      </w:tabs>
      <w:snapToGrid w:val="0"/>
      <w:jc w:val="left"/>
    </w:pPr>
    <w:rPr>
      <w:sz w:val="18"/>
      <w:szCs w:val="18"/>
    </w:rPr>
  </w:style>
  <w:style w:type="character" w:customStyle="1" w:styleId="Char0">
    <w:name w:val="页脚 Char"/>
    <w:basedOn w:val="a0"/>
    <w:link w:val="a4"/>
    <w:uiPriority w:val="99"/>
    <w:rsid w:val="00C61F68"/>
    <w:rPr>
      <w:sz w:val="18"/>
      <w:szCs w:val="18"/>
    </w:rPr>
  </w:style>
  <w:style w:type="paragraph" w:styleId="a5">
    <w:name w:val="Balloon Text"/>
    <w:basedOn w:val="a"/>
    <w:link w:val="Char1"/>
    <w:uiPriority w:val="99"/>
    <w:semiHidden/>
    <w:unhideWhenUsed/>
    <w:rsid w:val="00C61F68"/>
    <w:rPr>
      <w:sz w:val="18"/>
      <w:szCs w:val="18"/>
    </w:rPr>
  </w:style>
  <w:style w:type="character" w:customStyle="1" w:styleId="Char1">
    <w:name w:val="批注框文本 Char"/>
    <w:basedOn w:val="a0"/>
    <w:link w:val="a5"/>
    <w:uiPriority w:val="99"/>
    <w:semiHidden/>
    <w:rsid w:val="00C61F68"/>
    <w:rPr>
      <w:sz w:val="18"/>
      <w:szCs w:val="18"/>
    </w:rPr>
  </w:style>
  <w:style w:type="character" w:customStyle="1" w:styleId="1Char">
    <w:name w:val="标题 1 Char"/>
    <w:basedOn w:val="a0"/>
    <w:link w:val="1"/>
    <w:uiPriority w:val="9"/>
    <w:rsid w:val="00E22902"/>
    <w:rPr>
      <w:rFonts w:ascii="Times New Roman" w:eastAsia="宋体" w:hAnsi="Times New Roman" w:cs="Times New Roman"/>
      <w:b/>
      <w:bCs/>
      <w:kern w:val="44"/>
      <w:sz w:val="28"/>
      <w:szCs w:val="44"/>
    </w:rPr>
  </w:style>
  <w:style w:type="character" w:customStyle="1" w:styleId="2Char">
    <w:name w:val="标题 2 Char"/>
    <w:basedOn w:val="a0"/>
    <w:link w:val="2"/>
    <w:uiPriority w:val="9"/>
    <w:rsid w:val="0076277A"/>
    <w:rPr>
      <w:rFonts w:ascii="Times New Roman" w:eastAsia="宋体" w:hAnsi="Times New Roman" w:cstheme="majorBidi"/>
      <w:b/>
      <w:bCs/>
      <w:sz w:val="28"/>
      <w:szCs w:val="32"/>
    </w:rPr>
  </w:style>
  <w:style w:type="character" w:customStyle="1" w:styleId="3Char">
    <w:name w:val="标题 3 Char"/>
    <w:basedOn w:val="a0"/>
    <w:link w:val="3"/>
    <w:uiPriority w:val="9"/>
    <w:rsid w:val="00373486"/>
    <w:rPr>
      <w:b/>
      <w:bCs/>
      <w:sz w:val="28"/>
      <w:szCs w:val="32"/>
    </w:rPr>
  </w:style>
  <w:style w:type="character" w:customStyle="1" w:styleId="4Char">
    <w:name w:val="标题 4 Char"/>
    <w:basedOn w:val="a0"/>
    <w:link w:val="4"/>
    <w:uiPriority w:val="9"/>
    <w:rsid w:val="00D52739"/>
    <w:rPr>
      <w:rFonts w:asciiTheme="majorHAnsi" w:eastAsiaTheme="majorEastAsia" w:hAnsiTheme="majorHAnsi" w:cstheme="majorBidi"/>
      <w:b/>
      <w:bCs/>
      <w:sz w:val="28"/>
      <w:szCs w:val="28"/>
    </w:rPr>
  </w:style>
  <w:style w:type="paragraph" w:styleId="TOC">
    <w:name w:val="TOC Heading"/>
    <w:basedOn w:val="1"/>
    <w:next w:val="a"/>
    <w:uiPriority w:val="39"/>
    <w:semiHidden/>
    <w:unhideWhenUsed/>
    <w:qFormat/>
    <w:rsid w:val="00E22902"/>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0">
    <w:name w:val="toc 2"/>
    <w:basedOn w:val="a"/>
    <w:next w:val="a"/>
    <w:autoRedefine/>
    <w:uiPriority w:val="39"/>
    <w:unhideWhenUsed/>
    <w:qFormat/>
    <w:rsid w:val="00E22902"/>
    <w:pPr>
      <w:widowControl/>
      <w:spacing w:after="100" w:line="276" w:lineRule="auto"/>
      <w:ind w:left="220"/>
      <w:jc w:val="left"/>
    </w:pPr>
    <w:rPr>
      <w:kern w:val="0"/>
      <w:sz w:val="22"/>
      <w:szCs w:val="22"/>
    </w:rPr>
  </w:style>
  <w:style w:type="paragraph" w:styleId="10">
    <w:name w:val="toc 1"/>
    <w:basedOn w:val="a"/>
    <w:next w:val="a"/>
    <w:autoRedefine/>
    <w:uiPriority w:val="39"/>
    <w:unhideWhenUsed/>
    <w:qFormat/>
    <w:rsid w:val="00E22902"/>
    <w:pPr>
      <w:widowControl/>
      <w:spacing w:after="100" w:line="276" w:lineRule="auto"/>
      <w:jc w:val="left"/>
    </w:pPr>
    <w:rPr>
      <w:kern w:val="0"/>
      <w:sz w:val="22"/>
      <w:szCs w:val="22"/>
    </w:rPr>
  </w:style>
  <w:style w:type="paragraph" w:styleId="30">
    <w:name w:val="toc 3"/>
    <w:basedOn w:val="a"/>
    <w:next w:val="a"/>
    <w:autoRedefine/>
    <w:uiPriority w:val="39"/>
    <w:unhideWhenUsed/>
    <w:qFormat/>
    <w:rsid w:val="00E22902"/>
    <w:pPr>
      <w:widowControl/>
      <w:spacing w:after="100" w:line="276" w:lineRule="auto"/>
      <w:ind w:left="440"/>
      <w:jc w:val="left"/>
    </w:pPr>
    <w:rPr>
      <w:kern w:val="0"/>
      <w:sz w:val="22"/>
      <w:szCs w:val="22"/>
    </w:rPr>
  </w:style>
  <w:style w:type="character" w:styleId="a6">
    <w:name w:val="Hyperlink"/>
    <w:basedOn w:val="a0"/>
    <w:uiPriority w:val="99"/>
    <w:unhideWhenUsed/>
    <w:rsid w:val="00307326"/>
    <w:rPr>
      <w:color w:val="0000FF" w:themeColor="hyperlink"/>
      <w:u w:val="single"/>
    </w:rPr>
  </w:style>
  <w:style w:type="table" w:styleId="a7">
    <w:name w:val="Table Grid"/>
    <w:basedOn w:val="a1"/>
    <w:uiPriority w:val="59"/>
    <w:rsid w:val="0029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uiPriority w:val="59"/>
    <w:qFormat/>
    <w:rsid w:val="00EB6737"/>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2"/>
    <w:uiPriority w:val="99"/>
    <w:semiHidden/>
    <w:unhideWhenUsed/>
    <w:rsid w:val="000961DC"/>
    <w:pPr>
      <w:ind w:leftChars="2500" w:left="100"/>
    </w:pPr>
  </w:style>
  <w:style w:type="character" w:customStyle="1" w:styleId="Char2">
    <w:name w:val="日期 Char"/>
    <w:basedOn w:val="a0"/>
    <w:link w:val="a8"/>
    <w:uiPriority w:val="99"/>
    <w:semiHidden/>
    <w:rsid w:val="000961DC"/>
  </w:style>
  <w:style w:type="character" w:styleId="a9">
    <w:name w:val="annotation reference"/>
    <w:rsid w:val="004E03A8"/>
    <w:rPr>
      <w:sz w:val="21"/>
      <w:szCs w:val="21"/>
    </w:rPr>
  </w:style>
  <w:style w:type="paragraph" w:styleId="aa">
    <w:name w:val="annotation text"/>
    <w:basedOn w:val="a"/>
    <w:link w:val="Char10"/>
    <w:rsid w:val="004E03A8"/>
    <w:pPr>
      <w:jc w:val="left"/>
    </w:pPr>
    <w:rPr>
      <w:rFonts w:ascii="Times New Roman" w:eastAsia="宋体" w:hAnsi="Times New Roman" w:cs="Times New Roman"/>
      <w:szCs w:val="24"/>
    </w:rPr>
  </w:style>
  <w:style w:type="character" w:customStyle="1" w:styleId="Char3">
    <w:name w:val="批注文字 Char"/>
    <w:basedOn w:val="a0"/>
    <w:uiPriority w:val="99"/>
    <w:semiHidden/>
    <w:rsid w:val="004E03A8"/>
  </w:style>
  <w:style w:type="character" w:customStyle="1" w:styleId="Char10">
    <w:name w:val="批注文字 Char1"/>
    <w:link w:val="aa"/>
    <w:rsid w:val="004E03A8"/>
    <w:rPr>
      <w:rFonts w:ascii="Times New Roman" w:eastAsia="宋体" w:hAnsi="Times New Roman" w:cs="Times New Roman"/>
      <w:szCs w:val="24"/>
    </w:rPr>
  </w:style>
  <w:style w:type="paragraph" w:styleId="ab">
    <w:name w:val="Normal (Web)"/>
    <w:basedOn w:val="a"/>
    <w:uiPriority w:val="99"/>
    <w:rsid w:val="002F0F90"/>
    <w:rPr>
      <w:rFonts w:ascii="Times New Roman" w:eastAsia="宋体"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2B3"/>
    <w:pPr>
      <w:widowControl w:val="0"/>
      <w:jc w:val="both"/>
    </w:pPr>
  </w:style>
  <w:style w:type="paragraph" w:styleId="1">
    <w:name w:val="heading 1"/>
    <w:basedOn w:val="a"/>
    <w:next w:val="a"/>
    <w:link w:val="1Char"/>
    <w:uiPriority w:val="9"/>
    <w:qFormat/>
    <w:rsid w:val="00E22902"/>
    <w:pPr>
      <w:keepNext/>
      <w:keepLines/>
      <w:spacing w:before="340" w:after="330" w:line="578" w:lineRule="auto"/>
      <w:outlineLvl w:val="0"/>
    </w:pPr>
    <w:rPr>
      <w:b/>
      <w:bCs/>
      <w:kern w:val="44"/>
      <w:sz w:val="28"/>
      <w:szCs w:val="44"/>
    </w:rPr>
  </w:style>
  <w:style w:type="paragraph" w:styleId="2">
    <w:name w:val="heading 2"/>
    <w:basedOn w:val="a"/>
    <w:next w:val="a"/>
    <w:link w:val="2Char"/>
    <w:uiPriority w:val="9"/>
    <w:unhideWhenUsed/>
    <w:qFormat/>
    <w:rsid w:val="0076277A"/>
    <w:pPr>
      <w:keepNext/>
      <w:keepLines/>
      <w:spacing w:line="560" w:lineRule="exact"/>
      <w:outlineLvl w:val="1"/>
    </w:pPr>
    <w:rPr>
      <w:rFonts w:cstheme="majorBidi"/>
      <w:b/>
      <w:bCs/>
      <w:sz w:val="28"/>
      <w:szCs w:val="32"/>
    </w:rPr>
  </w:style>
  <w:style w:type="paragraph" w:styleId="3">
    <w:name w:val="heading 3"/>
    <w:basedOn w:val="a"/>
    <w:next w:val="a"/>
    <w:link w:val="3Char"/>
    <w:uiPriority w:val="9"/>
    <w:unhideWhenUsed/>
    <w:qFormat/>
    <w:rsid w:val="00373486"/>
    <w:pPr>
      <w:keepNext/>
      <w:keepLines/>
      <w:spacing w:line="560" w:lineRule="exact"/>
      <w:jc w:val="left"/>
      <w:outlineLvl w:val="2"/>
    </w:pPr>
    <w:rPr>
      <w:b/>
      <w:bCs/>
      <w:sz w:val="28"/>
      <w:szCs w:val="32"/>
    </w:rPr>
  </w:style>
  <w:style w:type="paragraph" w:styleId="4">
    <w:name w:val="heading 4"/>
    <w:basedOn w:val="a"/>
    <w:next w:val="a"/>
    <w:link w:val="4Char"/>
    <w:uiPriority w:val="9"/>
    <w:unhideWhenUsed/>
    <w:qFormat/>
    <w:rsid w:val="00D5273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1F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1F68"/>
    <w:rPr>
      <w:sz w:val="18"/>
      <w:szCs w:val="18"/>
    </w:rPr>
  </w:style>
  <w:style w:type="paragraph" w:styleId="a4">
    <w:name w:val="footer"/>
    <w:basedOn w:val="a"/>
    <w:link w:val="Char0"/>
    <w:uiPriority w:val="99"/>
    <w:unhideWhenUsed/>
    <w:rsid w:val="00C61F68"/>
    <w:pPr>
      <w:tabs>
        <w:tab w:val="center" w:pos="4153"/>
        <w:tab w:val="right" w:pos="8306"/>
      </w:tabs>
      <w:snapToGrid w:val="0"/>
      <w:jc w:val="left"/>
    </w:pPr>
    <w:rPr>
      <w:sz w:val="18"/>
      <w:szCs w:val="18"/>
    </w:rPr>
  </w:style>
  <w:style w:type="character" w:customStyle="1" w:styleId="Char0">
    <w:name w:val="页脚 Char"/>
    <w:basedOn w:val="a0"/>
    <w:link w:val="a4"/>
    <w:uiPriority w:val="99"/>
    <w:rsid w:val="00C61F68"/>
    <w:rPr>
      <w:sz w:val="18"/>
      <w:szCs w:val="18"/>
    </w:rPr>
  </w:style>
  <w:style w:type="paragraph" w:styleId="a5">
    <w:name w:val="Balloon Text"/>
    <w:basedOn w:val="a"/>
    <w:link w:val="Char1"/>
    <w:uiPriority w:val="99"/>
    <w:semiHidden/>
    <w:unhideWhenUsed/>
    <w:rsid w:val="00C61F68"/>
    <w:rPr>
      <w:sz w:val="18"/>
      <w:szCs w:val="18"/>
    </w:rPr>
  </w:style>
  <w:style w:type="character" w:customStyle="1" w:styleId="Char1">
    <w:name w:val="批注框文本 Char"/>
    <w:basedOn w:val="a0"/>
    <w:link w:val="a5"/>
    <w:uiPriority w:val="99"/>
    <w:semiHidden/>
    <w:rsid w:val="00C61F68"/>
    <w:rPr>
      <w:sz w:val="18"/>
      <w:szCs w:val="18"/>
    </w:rPr>
  </w:style>
  <w:style w:type="character" w:customStyle="1" w:styleId="1Char">
    <w:name w:val="标题 1 Char"/>
    <w:basedOn w:val="a0"/>
    <w:link w:val="1"/>
    <w:uiPriority w:val="9"/>
    <w:rsid w:val="00E22902"/>
    <w:rPr>
      <w:rFonts w:ascii="Times New Roman" w:eastAsia="宋体" w:hAnsi="Times New Roman" w:cs="Times New Roman"/>
      <w:b/>
      <w:bCs/>
      <w:kern w:val="44"/>
      <w:sz w:val="28"/>
      <w:szCs w:val="44"/>
    </w:rPr>
  </w:style>
  <w:style w:type="character" w:customStyle="1" w:styleId="2Char">
    <w:name w:val="标题 2 Char"/>
    <w:basedOn w:val="a0"/>
    <w:link w:val="2"/>
    <w:uiPriority w:val="9"/>
    <w:rsid w:val="0076277A"/>
    <w:rPr>
      <w:rFonts w:ascii="Times New Roman" w:eastAsia="宋体" w:hAnsi="Times New Roman" w:cstheme="majorBidi"/>
      <w:b/>
      <w:bCs/>
      <w:sz w:val="28"/>
      <w:szCs w:val="32"/>
    </w:rPr>
  </w:style>
  <w:style w:type="character" w:customStyle="1" w:styleId="3Char">
    <w:name w:val="标题 3 Char"/>
    <w:basedOn w:val="a0"/>
    <w:link w:val="3"/>
    <w:uiPriority w:val="9"/>
    <w:rsid w:val="00373486"/>
    <w:rPr>
      <w:b/>
      <w:bCs/>
      <w:sz w:val="28"/>
      <w:szCs w:val="32"/>
    </w:rPr>
  </w:style>
  <w:style w:type="character" w:customStyle="1" w:styleId="4Char">
    <w:name w:val="标题 4 Char"/>
    <w:basedOn w:val="a0"/>
    <w:link w:val="4"/>
    <w:uiPriority w:val="9"/>
    <w:rsid w:val="00D52739"/>
    <w:rPr>
      <w:rFonts w:asciiTheme="majorHAnsi" w:eastAsiaTheme="majorEastAsia" w:hAnsiTheme="majorHAnsi" w:cstheme="majorBidi"/>
      <w:b/>
      <w:bCs/>
      <w:sz w:val="28"/>
      <w:szCs w:val="28"/>
    </w:rPr>
  </w:style>
  <w:style w:type="paragraph" w:styleId="TOC">
    <w:name w:val="TOC Heading"/>
    <w:basedOn w:val="1"/>
    <w:next w:val="a"/>
    <w:uiPriority w:val="39"/>
    <w:semiHidden/>
    <w:unhideWhenUsed/>
    <w:qFormat/>
    <w:rsid w:val="00E22902"/>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0">
    <w:name w:val="toc 2"/>
    <w:basedOn w:val="a"/>
    <w:next w:val="a"/>
    <w:autoRedefine/>
    <w:uiPriority w:val="39"/>
    <w:unhideWhenUsed/>
    <w:qFormat/>
    <w:rsid w:val="00E22902"/>
    <w:pPr>
      <w:widowControl/>
      <w:spacing w:after="100" w:line="276" w:lineRule="auto"/>
      <w:ind w:left="220"/>
      <w:jc w:val="left"/>
    </w:pPr>
    <w:rPr>
      <w:kern w:val="0"/>
      <w:sz w:val="22"/>
      <w:szCs w:val="22"/>
    </w:rPr>
  </w:style>
  <w:style w:type="paragraph" w:styleId="10">
    <w:name w:val="toc 1"/>
    <w:basedOn w:val="a"/>
    <w:next w:val="a"/>
    <w:autoRedefine/>
    <w:uiPriority w:val="39"/>
    <w:unhideWhenUsed/>
    <w:qFormat/>
    <w:rsid w:val="00E22902"/>
    <w:pPr>
      <w:widowControl/>
      <w:spacing w:after="100" w:line="276" w:lineRule="auto"/>
      <w:jc w:val="left"/>
    </w:pPr>
    <w:rPr>
      <w:kern w:val="0"/>
      <w:sz w:val="22"/>
      <w:szCs w:val="22"/>
    </w:rPr>
  </w:style>
  <w:style w:type="paragraph" w:styleId="30">
    <w:name w:val="toc 3"/>
    <w:basedOn w:val="a"/>
    <w:next w:val="a"/>
    <w:autoRedefine/>
    <w:uiPriority w:val="39"/>
    <w:unhideWhenUsed/>
    <w:qFormat/>
    <w:rsid w:val="00E22902"/>
    <w:pPr>
      <w:widowControl/>
      <w:spacing w:after="100" w:line="276" w:lineRule="auto"/>
      <w:ind w:left="440"/>
      <w:jc w:val="left"/>
    </w:pPr>
    <w:rPr>
      <w:kern w:val="0"/>
      <w:sz w:val="22"/>
      <w:szCs w:val="22"/>
    </w:rPr>
  </w:style>
  <w:style w:type="character" w:styleId="a6">
    <w:name w:val="Hyperlink"/>
    <w:basedOn w:val="a0"/>
    <w:uiPriority w:val="99"/>
    <w:unhideWhenUsed/>
    <w:rsid w:val="00307326"/>
    <w:rPr>
      <w:color w:val="0000FF" w:themeColor="hyperlink"/>
      <w:u w:val="single"/>
    </w:rPr>
  </w:style>
  <w:style w:type="table" w:styleId="a7">
    <w:name w:val="Table Grid"/>
    <w:basedOn w:val="a1"/>
    <w:uiPriority w:val="59"/>
    <w:rsid w:val="0029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uiPriority w:val="59"/>
    <w:qFormat/>
    <w:rsid w:val="00EB6737"/>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2"/>
    <w:uiPriority w:val="99"/>
    <w:semiHidden/>
    <w:unhideWhenUsed/>
    <w:rsid w:val="000961DC"/>
    <w:pPr>
      <w:ind w:leftChars="2500" w:left="100"/>
    </w:pPr>
  </w:style>
  <w:style w:type="character" w:customStyle="1" w:styleId="Char2">
    <w:name w:val="日期 Char"/>
    <w:basedOn w:val="a0"/>
    <w:link w:val="a8"/>
    <w:uiPriority w:val="99"/>
    <w:semiHidden/>
    <w:rsid w:val="000961DC"/>
  </w:style>
  <w:style w:type="character" w:styleId="a9">
    <w:name w:val="annotation reference"/>
    <w:rsid w:val="004E03A8"/>
    <w:rPr>
      <w:sz w:val="21"/>
      <w:szCs w:val="21"/>
    </w:rPr>
  </w:style>
  <w:style w:type="paragraph" w:styleId="aa">
    <w:name w:val="annotation text"/>
    <w:basedOn w:val="a"/>
    <w:link w:val="Char10"/>
    <w:rsid w:val="004E03A8"/>
    <w:pPr>
      <w:jc w:val="left"/>
    </w:pPr>
    <w:rPr>
      <w:rFonts w:ascii="Times New Roman" w:eastAsia="宋体" w:hAnsi="Times New Roman" w:cs="Times New Roman"/>
      <w:szCs w:val="24"/>
    </w:rPr>
  </w:style>
  <w:style w:type="character" w:customStyle="1" w:styleId="Char3">
    <w:name w:val="批注文字 Char"/>
    <w:basedOn w:val="a0"/>
    <w:uiPriority w:val="99"/>
    <w:semiHidden/>
    <w:rsid w:val="004E03A8"/>
  </w:style>
  <w:style w:type="character" w:customStyle="1" w:styleId="Char10">
    <w:name w:val="批注文字 Char1"/>
    <w:link w:val="aa"/>
    <w:rsid w:val="004E03A8"/>
    <w:rPr>
      <w:rFonts w:ascii="Times New Roman" w:eastAsia="宋体" w:hAnsi="Times New Roman" w:cs="Times New Roman"/>
      <w:szCs w:val="24"/>
    </w:rPr>
  </w:style>
  <w:style w:type="paragraph" w:styleId="ab">
    <w:name w:val="Normal (Web)"/>
    <w:basedOn w:val="a"/>
    <w:uiPriority w:val="99"/>
    <w:rsid w:val="002F0F90"/>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08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3BA75-3458-4AB9-B828-2120F5C8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9</Pages>
  <Words>547</Words>
  <Characters>3121</Characters>
  <Application>Microsoft Office Word</Application>
  <DocSecurity>0</DocSecurity>
  <Lines>26</Lines>
  <Paragraphs>7</Paragraphs>
  <ScaleCrop>false</ScaleCrop>
  <Company/>
  <LinksUpToDate>false</LinksUpToDate>
  <CharactersWithSpaces>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孔泉</cp:lastModifiedBy>
  <cp:revision>317</cp:revision>
  <dcterms:created xsi:type="dcterms:W3CDTF">2021-10-18T08:37:00Z</dcterms:created>
  <dcterms:modified xsi:type="dcterms:W3CDTF">2022-09-06T08:58:00Z</dcterms:modified>
</cp:coreProperties>
</file>