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ABA" w:rsidRDefault="007E1F77">
      <w:pPr>
        <w:snapToGrid w:val="0"/>
        <w:spacing w:line="360" w:lineRule="auto"/>
        <w:jc w:val="center"/>
        <w:rPr>
          <w:rFonts w:ascii="黑体" w:eastAsia="黑体" w:hAnsi="宋体"/>
          <w:b/>
          <w:sz w:val="30"/>
          <w:szCs w:val="30"/>
        </w:rPr>
      </w:pPr>
      <w:r>
        <w:rPr>
          <w:rFonts w:ascii="黑体" w:eastAsia="黑体" w:hAnsi="宋体" w:hint="eastAsia"/>
          <w:b/>
          <w:sz w:val="30"/>
          <w:szCs w:val="30"/>
        </w:rPr>
        <w:t>IB</w:t>
      </w:r>
      <w:r>
        <w:rPr>
          <w:rFonts w:ascii="黑体" w:eastAsia="黑体" w:hAnsi="宋体" w:hint="eastAsia"/>
          <w:b/>
          <w:sz w:val="30"/>
          <w:szCs w:val="30"/>
        </w:rPr>
        <w:t>业务公示信息</w:t>
      </w:r>
    </w:p>
    <w:p w:rsidR="00FB5ABA" w:rsidRDefault="007E1F77">
      <w:pPr>
        <w:snapToGrid w:val="0"/>
        <w:spacing w:line="360" w:lineRule="auto"/>
        <w:ind w:firstLineChars="199" w:firstLine="479"/>
        <w:rPr>
          <w:rFonts w:ascii="宋体" w:hAnsi="宋体"/>
          <w:sz w:val="24"/>
        </w:rPr>
      </w:pPr>
      <w:r>
        <w:rPr>
          <w:rFonts w:ascii="宋体" w:hAnsi="宋体" w:hint="eastAsia"/>
          <w:b/>
          <w:sz w:val="24"/>
        </w:rPr>
        <w:t>一、</w:t>
      </w:r>
      <w:r>
        <w:rPr>
          <w:rFonts w:ascii="宋体" w:hAnsi="宋体"/>
          <w:b/>
          <w:sz w:val="24"/>
        </w:rPr>
        <w:t>受托从事的介绍业务范围：</w:t>
      </w:r>
    </w:p>
    <w:p w:rsidR="00FB5ABA" w:rsidRDefault="007E1F77">
      <w:pPr>
        <w:snapToGrid w:val="0"/>
        <w:spacing w:line="360" w:lineRule="auto"/>
        <w:ind w:firstLineChars="200" w:firstLine="480"/>
        <w:rPr>
          <w:rFonts w:ascii="宋体" w:hAnsi="宋体"/>
          <w:sz w:val="24"/>
        </w:rPr>
      </w:pPr>
      <w:r>
        <w:rPr>
          <w:rFonts w:ascii="宋体" w:hAnsi="宋体" w:hint="eastAsia"/>
          <w:sz w:val="24"/>
        </w:rPr>
        <w:t>华鑫</w:t>
      </w:r>
      <w:r>
        <w:rPr>
          <w:rFonts w:ascii="宋体" w:hAnsi="宋体"/>
          <w:sz w:val="24"/>
        </w:rPr>
        <w:t>证券接受</w:t>
      </w:r>
      <w:r w:rsidR="00273B8A">
        <w:rPr>
          <w:rFonts w:ascii="宋体" w:hAnsi="宋体" w:hint="eastAsia"/>
          <w:sz w:val="24"/>
        </w:rPr>
        <w:t>中泰期货</w:t>
      </w:r>
      <w:r>
        <w:rPr>
          <w:rFonts w:ascii="宋体" w:hAnsi="宋体"/>
          <w:sz w:val="24"/>
        </w:rPr>
        <w:t>的委托，为</w:t>
      </w:r>
      <w:r w:rsidR="00273B8A">
        <w:rPr>
          <w:rFonts w:ascii="宋体" w:hAnsi="宋体" w:hint="eastAsia"/>
          <w:sz w:val="24"/>
        </w:rPr>
        <w:t>其</w:t>
      </w:r>
      <w:r>
        <w:rPr>
          <w:rFonts w:ascii="宋体" w:hAnsi="宋体"/>
          <w:sz w:val="24"/>
        </w:rPr>
        <w:t>介绍客户从事期货交易，并提供下列服务：</w:t>
      </w:r>
    </w:p>
    <w:p w:rsidR="00FB5ABA" w:rsidRDefault="007E1F77">
      <w:pPr>
        <w:snapToGrid w:val="0"/>
        <w:spacing w:line="360" w:lineRule="auto"/>
        <w:ind w:firstLineChars="200" w:firstLine="480"/>
        <w:rPr>
          <w:rFonts w:ascii="宋体" w:hAnsi="宋体"/>
          <w:sz w:val="24"/>
        </w:rPr>
      </w:pPr>
      <w:r>
        <w:rPr>
          <w:rFonts w:ascii="宋体" w:hAnsi="宋体"/>
          <w:sz w:val="24"/>
        </w:rPr>
        <w:t>（</w:t>
      </w:r>
      <w:r>
        <w:rPr>
          <w:rFonts w:ascii="宋体" w:hAnsi="宋体"/>
          <w:sz w:val="24"/>
        </w:rPr>
        <w:t>1</w:t>
      </w:r>
      <w:r>
        <w:rPr>
          <w:rFonts w:ascii="宋体" w:hAnsi="宋体"/>
          <w:sz w:val="24"/>
        </w:rPr>
        <w:t>）协助办理期货开户手续；</w:t>
      </w:r>
    </w:p>
    <w:p w:rsidR="00FB5ABA" w:rsidRDefault="007E1F77">
      <w:pPr>
        <w:snapToGrid w:val="0"/>
        <w:spacing w:line="360" w:lineRule="auto"/>
        <w:ind w:firstLineChars="200" w:firstLine="480"/>
        <w:rPr>
          <w:rFonts w:ascii="宋体" w:hAnsi="宋体"/>
          <w:sz w:val="24"/>
        </w:rPr>
      </w:pPr>
      <w:r>
        <w:rPr>
          <w:rFonts w:ascii="宋体" w:hAnsi="宋体"/>
          <w:sz w:val="24"/>
        </w:rPr>
        <w:t>（</w:t>
      </w:r>
      <w:r>
        <w:rPr>
          <w:rFonts w:ascii="宋体" w:hAnsi="宋体"/>
          <w:sz w:val="24"/>
        </w:rPr>
        <w:t>2</w:t>
      </w:r>
      <w:r>
        <w:rPr>
          <w:rFonts w:ascii="宋体" w:hAnsi="宋体"/>
          <w:sz w:val="24"/>
        </w:rPr>
        <w:t>）提供期货行情信息、交易设施；</w:t>
      </w:r>
    </w:p>
    <w:p w:rsidR="00FB5ABA" w:rsidRDefault="007E1F77">
      <w:pPr>
        <w:snapToGrid w:val="0"/>
        <w:spacing w:line="360" w:lineRule="auto"/>
        <w:ind w:firstLineChars="200" w:firstLine="480"/>
        <w:rPr>
          <w:rFonts w:ascii="宋体" w:hAnsi="宋体"/>
          <w:sz w:val="24"/>
        </w:rPr>
      </w:pPr>
      <w:r>
        <w:rPr>
          <w:rFonts w:ascii="宋体" w:hAnsi="宋体"/>
          <w:sz w:val="24"/>
        </w:rPr>
        <w:t>（</w:t>
      </w:r>
      <w:r>
        <w:rPr>
          <w:rFonts w:ascii="宋体" w:hAnsi="宋体"/>
          <w:sz w:val="24"/>
        </w:rPr>
        <w:t>3</w:t>
      </w:r>
      <w:r>
        <w:rPr>
          <w:rFonts w:ascii="宋体" w:hAnsi="宋体"/>
          <w:sz w:val="24"/>
        </w:rPr>
        <w:t>）中国证监会规定的其他服务。</w:t>
      </w:r>
    </w:p>
    <w:p w:rsidR="00FB5ABA" w:rsidRDefault="007E1F77">
      <w:pPr>
        <w:snapToGrid w:val="0"/>
        <w:spacing w:line="360" w:lineRule="auto"/>
        <w:ind w:firstLineChars="200" w:firstLine="480"/>
        <w:rPr>
          <w:rFonts w:ascii="宋体" w:hAnsi="宋体"/>
          <w:sz w:val="24"/>
        </w:rPr>
      </w:pPr>
      <w:r>
        <w:rPr>
          <w:rFonts w:ascii="宋体" w:hAnsi="宋体" w:hint="eastAsia"/>
          <w:sz w:val="24"/>
        </w:rPr>
        <w:t>二、</w:t>
      </w:r>
      <w:r>
        <w:rPr>
          <w:rFonts w:ascii="宋体" w:hAnsi="宋体" w:hint="eastAsia"/>
          <w:b/>
          <w:sz w:val="24"/>
        </w:rPr>
        <w:t>期货公司期货保证金账户信息、期货保证金安全存管方式</w:t>
      </w:r>
    </w:p>
    <w:p w:rsidR="00FB5ABA" w:rsidRDefault="007E1F77">
      <w:pPr>
        <w:snapToGrid w:val="0"/>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、期货保证金账户清单</w:t>
      </w:r>
    </w:p>
    <w:tbl>
      <w:tblPr>
        <w:tblW w:w="10129" w:type="dxa"/>
        <w:jc w:val="center"/>
        <w:tblLayout w:type="fixed"/>
        <w:tblLook w:val="04A0" w:firstRow="1" w:lastRow="0" w:firstColumn="1" w:lastColumn="0" w:noHBand="0" w:noVBand="1"/>
      </w:tblPr>
      <w:tblGrid>
        <w:gridCol w:w="2262"/>
        <w:gridCol w:w="3135"/>
        <w:gridCol w:w="3096"/>
        <w:gridCol w:w="1636"/>
      </w:tblGrid>
      <w:tr w:rsidR="00FB5ABA">
        <w:trPr>
          <w:trHeight w:val="270"/>
          <w:jc w:val="center"/>
        </w:trPr>
        <w:tc>
          <w:tcPr>
            <w:tcW w:w="22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B5ABA" w:rsidRDefault="007E1F77">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户名</w:t>
            </w:r>
          </w:p>
        </w:tc>
        <w:tc>
          <w:tcPr>
            <w:tcW w:w="3135" w:type="dxa"/>
            <w:tcBorders>
              <w:top w:val="single" w:sz="8" w:space="0" w:color="000000"/>
              <w:left w:val="nil"/>
              <w:bottom w:val="single" w:sz="8" w:space="0" w:color="000000"/>
              <w:right w:val="single" w:sz="8" w:space="0" w:color="000000"/>
            </w:tcBorders>
            <w:shd w:val="clear" w:color="auto" w:fill="FFFFFF"/>
            <w:vAlign w:val="center"/>
          </w:tcPr>
          <w:p w:rsidR="00FB5ABA" w:rsidRDefault="007E1F77">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开户行</w:t>
            </w:r>
          </w:p>
        </w:tc>
        <w:tc>
          <w:tcPr>
            <w:tcW w:w="3096" w:type="dxa"/>
            <w:tcBorders>
              <w:top w:val="single" w:sz="8" w:space="0" w:color="000000"/>
              <w:left w:val="nil"/>
              <w:bottom w:val="single" w:sz="8" w:space="0" w:color="000000"/>
              <w:right w:val="single" w:sz="8" w:space="0" w:color="000000"/>
            </w:tcBorders>
            <w:shd w:val="clear" w:color="auto" w:fill="FFFFFF"/>
            <w:vAlign w:val="center"/>
          </w:tcPr>
          <w:p w:rsidR="00FB5ABA" w:rsidRDefault="007E1F77">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帐号</w:t>
            </w:r>
          </w:p>
        </w:tc>
        <w:tc>
          <w:tcPr>
            <w:tcW w:w="1636" w:type="dxa"/>
            <w:tcBorders>
              <w:top w:val="single" w:sz="8" w:space="0" w:color="000000"/>
              <w:left w:val="nil"/>
              <w:bottom w:val="single" w:sz="8" w:space="0" w:color="000000"/>
              <w:right w:val="single" w:sz="8" w:space="0" w:color="000000"/>
            </w:tcBorders>
            <w:shd w:val="clear" w:color="auto" w:fill="FFFFFF"/>
            <w:vAlign w:val="center"/>
          </w:tcPr>
          <w:p w:rsidR="00FB5ABA" w:rsidRDefault="007E1F77">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所在地</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工行济南历下支行</w:t>
            </w:r>
          </w:p>
        </w:tc>
        <w:tc>
          <w:tcPr>
            <w:tcW w:w="3096" w:type="dxa"/>
            <w:tcBorders>
              <w:top w:val="nil"/>
              <w:left w:val="nil"/>
              <w:bottom w:val="nil"/>
              <w:right w:val="nil"/>
            </w:tcBorders>
            <w:shd w:val="clear" w:color="auto" w:fill="auto"/>
            <w:noWrap/>
            <w:vAlign w:val="center"/>
          </w:tcPr>
          <w:p w:rsidR="00FB5ABA" w:rsidRDefault="007E1F77">
            <w:pPr>
              <w:pStyle w:val="TableParagraph"/>
              <w:ind w:left="0"/>
              <w:rPr>
                <w:sz w:val="20"/>
              </w:rPr>
            </w:pPr>
            <w:r>
              <w:rPr>
                <w:color w:val="333333"/>
                <w:sz w:val="20"/>
              </w:rPr>
              <w:t>1602003029200035790</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农行济南市中支行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15112101040001712</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中行济南分行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
              <w:ind w:left="0"/>
              <w:rPr>
                <w:sz w:val="20"/>
              </w:rPr>
            </w:pPr>
            <w:r>
              <w:rPr>
                <w:color w:val="333333"/>
                <w:sz w:val="20"/>
              </w:rPr>
              <w:t>205200003204</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建行济南市中支行营业部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37001616308050150885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交行济南市中支行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371611000018170025237</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兴业银行济南分行营业部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376010113400000112</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中国光大银行济南分行营业部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37880188000273832</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中国民生银行济南分行营业部</w:t>
            </w:r>
          </w:p>
        </w:tc>
        <w:tc>
          <w:tcPr>
            <w:tcW w:w="3096" w:type="dxa"/>
            <w:tcBorders>
              <w:top w:val="nil"/>
              <w:left w:val="nil"/>
              <w:bottom w:val="nil"/>
              <w:right w:val="nil"/>
            </w:tcBorders>
            <w:shd w:val="clear" w:color="auto" w:fill="auto"/>
            <w:noWrap/>
            <w:vAlign w:val="center"/>
          </w:tcPr>
          <w:p w:rsidR="00FB5ABA" w:rsidRDefault="007E1F77">
            <w:pPr>
              <w:pStyle w:val="TableParagraph"/>
              <w:ind w:left="0"/>
              <w:rPr>
                <w:sz w:val="20"/>
              </w:rPr>
            </w:pPr>
            <w:r>
              <w:rPr>
                <w:color w:val="333333"/>
                <w:sz w:val="20"/>
              </w:rPr>
              <w:t>691175460</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招商银行济南千佛山支行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531903402810808</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中信银行济南经十路支行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7372510187000000798</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平安银行济南分行营业部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19014520856005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广发银行济南分行营业部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9550880205044200135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浦发银行济南分行营业部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74100153800000014</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邮储银行济南市自贸区支行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937004071004300401</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济南</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鲁证期货股份有限公司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建行郑州期货城支行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41001521010050007463</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郑州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交行郑州商品交易所支行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411060700018001927273</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郑州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中行郑州商品交易所支行营业部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255916545235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郑州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民生银行郑州商鼎路支行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610000580</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郑州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兴业银行郑州金水东路支行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462090113471005855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郑州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中信银行郑州分行营业部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
              <w:ind w:left="0"/>
              <w:rPr>
                <w:sz w:val="20"/>
              </w:rPr>
            </w:pPr>
            <w:r>
              <w:rPr>
                <w:color w:val="333333"/>
                <w:sz w:val="20"/>
              </w:rPr>
              <w:t>8111101014201317718</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郑州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工行上海期货大厦支行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
              <w:ind w:left="0"/>
              <w:rPr>
                <w:sz w:val="20"/>
              </w:rPr>
            </w:pPr>
            <w:r>
              <w:rPr>
                <w:color w:val="333333"/>
                <w:sz w:val="20"/>
              </w:rPr>
              <w:t>1001173219006527516</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工行上海期货大厦支行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1001173229081000630</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工行上海期货大厦支行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1001173229025827536</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工行上海期货大厦支行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1001173229140827581</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农行上海期货大厦支行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03427900049902752</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农行上海期货大厦支行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03427900048100069</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建行上海期货支行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31001559100056010275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建行上海期货支行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31001559100059110006</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lastRenderedPageBreak/>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建行上海期货支行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31050163390009318275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交行上海期货大厦支行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310066056010020027547</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交行上海期货大厦支行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310066056017911000676</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交行上海期货大厦支行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310066056016600827530</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交行上海期货大厦支行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
              <w:ind w:left="0"/>
              <w:rPr>
                <w:sz w:val="20"/>
              </w:rPr>
            </w:pPr>
            <w:r>
              <w:rPr>
                <w:color w:val="333333"/>
                <w:sz w:val="20"/>
              </w:rPr>
              <w:t>310066056146600827593</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鲁证期货股份有限公司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458540702757</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458548100063</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鲁证期货股份有限公司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458541882751</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鲁证期货股份有限公司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中行上海期货大厦支行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458542882750</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中信银行上海浦电路支行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7314410187010006038</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上海浦东发展银行期交所支行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971101538010006191</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上海浦东发展银行期交所支行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971101538068275190</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招商银行上海世纪大道支行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955102029910275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招商银行上海世纪大道支行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955105019910006</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平安银行上海交易所支行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19900002100006</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平安银行上海交易所支行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19900000000275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民生银行上海期交所支行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
              <w:ind w:left="0"/>
              <w:rPr>
                <w:sz w:val="20"/>
              </w:rPr>
            </w:pPr>
            <w:r>
              <w:rPr>
                <w:color w:val="333333"/>
                <w:sz w:val="20"/>
              </w:rPr>
              <w:t>604002752</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民生银行上海期交所支行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
              <w:ind w:left="0"/>
              <w:rPr>
                <w:sz w:val="20"/>
              </w:rPr>
            </w:pPr>
            <w:r>
              <w:rPr>
                <w:color w:val="333333"/>
                <w:sz w:val="20"/>
              </w:rPr>
              <w:t>614000064</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民生银行上海期交所支行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603082756</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中国光大银行上海分行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367801880011395110275</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兴业银行上海交易所支行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216480113451827520</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鲁证期货股份有限公司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中行大连商品交易所支行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316858221577</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鲁证期货股份有限公司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中行大连商品交易所支行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302575634077</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kern w:val="0"/>
                <w:sz w:val="20"/>
                <w:szCs w:val="20"/>
                <w:lang w:bidi="ar"/>
              </w:rPr>
            </w:pPr>
            <w:r>
              <w:rPr>
                <w:color w:val="000000"/>
                <w:kern w:val="0"/>
                <w:sz w:val="20"/>
                <w:szCs w:val="20"/>
                <w:lang w:bidi="ar"/>
              </w:rPr>
              <w:t>鲁证期货股份有限公司</w:t>
            </w:r>
          </w:p>
          <w:p w:rsidR="00FB5ABA" w:rsidRDefault="007E1F77">
            <w:pPr>
              <w:widowControl/>
              <w:jc w:val="center"/>
              <w:textAlignment w:val="top"/>
              <w:rPr>
                <w:color w:val="000000"/>
                <w:sz w:val="20"/>
                <w:szCs w:val="20"/>
              </w:rPr>
            </w:pPr>
            <w:r>
              <w:rPr>
                <w:color w:val="000000"/>
                <w:kern w:val="0"/>
                <w:sz w:val="20"/>
                <w:szCs w:val="20"/>
                <w:lang w:bidi="ar"/>
              </w:rPr>
              <w:t>大连营业部</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中行大连商品交易所支行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290856326667</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kern w:val="0"/>
                <w:sz w:val="20"/>
                <w:szCs w:val="20"/>
                <w:lang w:bidi="ar"/>
              </w:rPr>
            </w:pPr>
            <w:r>
              <w:rPr>
                <w:color w:val="000000"/>
                <w:kern w:val="0"/>
                <w:sz w:val="20"/>
                <w:szCs w:val="20"/>
                <w:lang w:bidi="ar"/>
              </w:rPr>
              <w:t>鲁证期货股份有限公司</w:t>
            </w:r>
          </w:p>
          <w:p w:rsidR="00FB5ABA" w:rsidRDefault="007E1F77">
            <w:pPr>
              <w:widowControl/>
              <w:jc w:val="center"/>
              <w:textAlignment w:val="top"/>
              <w:rPr>
                <w:color w:val="000000"/>
                <w:sz w:val="20"/>
                <w:szCs w:val="20"/>
              </w:rPr>
            </w:pPr>
            <w:r>
              <w:rPr>
                <w:color w:val="000000"/>
                <w:kern w:val="0"/>
                <w:sz w:val="20"/>
                <w:szCs w:val="20"/>
                <w:lang w:bidi="ar"/>
              </w:rPr>
              <w:t>大连营业部</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建行大连商品交易所支行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21201504000050000599</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农行大连商品交易所支行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34646001040003004</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kern w:val="0"/>
                <w:sz w:val="20"/>
                <w:szCs w:val="20"/>
                <w:lang w:bidi="ar"/>
              </w:rPr>
            </w:pPr>
            <w:r>
              <w:rPr>
                <w:color w:val="000000"/>
                <w:kern w:val="0"/>
                <w:sz w:val="20"/>
                <w:szCs w:val="20"/>
                <w:lang w:bidi="ar"/>
              </w:rPr>
              <w:t>中泰期货股份有限公司</w:t>
            </w:r>
          </w:p>
          <w:p w:rsidR="00FB5ABA" w:rsidRDefault="007E1F77">
            <w:pPr>
              <w:widowControl/>
              <w:jc w:val="center"/>
              <w:textAlignment w:val="top"/>
              <w:rPr>
                <w:color w:val="000000"/>
                <w:sz w:val="20"/>
                <w:szCs w:val="20"/>
              </w:rPr>
            </w:pPr>
            <w:r>
              <w:rPr>
                <w:color w:val="000000"/>
                <w:kern w:val="0"/>
                <w:sz w:val="20"/>
                <w:szCs w:val="20"/>
                <w:lang w:bidi="ar"/>
              </w:rPr>
              <w:t>大连营业部</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交行大连分行商品交易所支行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212060120010141004394</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kern w:val="0"/>
                <w:sz w:val="20"/>
                <w:szCs w:val="20"/>
                <w:lang w:bidi="ar"/>
              </w:rPr>
            </w:pPr>
            <w:r>
              <w:rPr>
                <w:color w:val="000000"/>
                <w:kern w:val="0"/>
                <w:sz w:val="20"/>
                <w:szCs w:val="20"/>
                <w:lang w:bidi="ar"/>
              </w:rPr>
              <w:t>鲁证期货股份有限公司</w:t>
            </w:r>
          </w:p>
          <w:p w:rsidR="00FB5ABA" w:rsidRDefault="007E1F77">
            <w:pPr>
              <w:widowControl/>
              <w:jc w:val="center"/>
              <w:textAlignment w:val="top"/>
              <w:rPr>
                <w:color w:val="000000"/>
                <w:sz w:val="20"/>
                <w:szCs w:val="20"/>
              </w:rPr>
            </w:pPr>
            <w:r>
              <w:rPr>
                <w:color w:val="000000"/>
                <w:kern w:val="0"/>
                <w:sz w:val="20"/>
                <w:szCs w:val="20"/>
                <w:lang w:bidi="ar"/>
              </w:rPr>
              <w:t>大连营业部</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工行大连商品交易所支行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
              <w:ind w:left="0"/>
              <w:rPr>
                <w:sz w:val="20"/>
              </w:rPr>
            </w:pPr>
            <w:r>
              <w:rPr>
                <w:color w:val="333333"/>
                <w:sz w:val="20"/>
              </w:rPr>
              <w:t>3400203529000004374</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鲁证期货股份有限公司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兴业银行大连商品交易所支行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532110113461004366</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民生银行大连商品交易所支行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609000043</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中信银行大连大商所支行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19"/>
              <w:ind w:left="0"/>
              <w:rPr>
                <w:sz w:val="20"/>
              </w:rPr>
            </w:pPr>
            <w:r>
              <w:rPr>
                <w:color w:val="333333"/>
                <w:sz w:val="20"/>
              </w:rPr>
              <w:t>8110401414200007864</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鲁证期货股份有限公司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上海浦东发展银行大连期货大厦支行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752001538070043060</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邮储银行大连商品交易所支行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
              <w:ind w:left="0"/>
              <w:rPr>
                <w:sz w:val="20"/>
              </w:rPr>
            </w:pPr>
            <w:r>
              <w:rPr>
                <w:color w:val="333333"/>
                <w:sz w:val="20"/>
              </w:rPr>
              <w:t>921023071004300002</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大连</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kern w:val="0"/>
                <w:sz w:val="20"/>
                <w:szCs w:val="20"/>
                <w:lang w:bidi="ar"/>
              </w:rPr>
            </w:pPr>
            <w:r>
              <w:rPr>
                <w:color w:val="000000"/>
                <w:kern w:val="0"/>
                <w:sz w:val="20"/>
                <w:szCs w:val="20"/>
                <w:lang w:bidi="ar"/>
              </w:rPr>
              <w:t>中泰期货股份有限公司</w:t>
            </w:r>
          </w:p>
          <w:p w:rsidR="00FB5ABA" w:rsidRDefault="007E1F77">
            <w:pPr>
              <w:widowControl/>
              <w:jc w:val="center"/>
              <w:textAlignment w:val="top"/>
              <w:rPr>
                <w:color w:val="000000"/>
                <w:sz w:val="20"/>
                <w:szCs w:val="20"/>
              </w:rPr>
            </w:pPr>
            <w:r>
              <w:rPr>
                <w:color w:val="000000"/>
                <w:kern w:val="0"/>
                <w:sz w:val="20"/>
                <w:szCs w:val="20"/>
                <w:lang w:bidi="ar"/>
              </w:rPr>
              <w:t>北京营业部保证金</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建行北京劲松支行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spacing w:before="1"/>
              <w:ind w:left="0"/>
              <w:rPr>
                <w:sz w:val="20"/>
              </w:rPr>
            </w:pPr>
            <w:r>
              <w:rPr>
                <w:color w:val="333333"/>
                <w:sz w:val="20"/>
              </w:rPr>
              <w:t>11001058800053005417</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北</w:t>
            </w:r>
            <w:r>
              <w:rPr>
                <w:color w:val="000000"/>
                <w:kern w:val="0"/>
                <w:sz w:val="20"/>
                <w:szCs w:val="20"/>
                <w:lang w:bidi="ar"/>
              </w:rPr>
              <w:br/>
            </w:r>
            <w:r>
              <w:rPr>
                <w:color w:val="000000"/>
                <w:kern w:val="0"/>
                <w:sz w:val="20"/>
                <w:szCs w:val="20"/>
                <w:lang w:bidi="ar"/>
              </w:rPr>
              <w:t>京</w:t>
            </w:r>
          </w:p>
        </w:tc>
      </w:tr>
      <w:tr w:rsidR="00FB5ABA">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中泰期货股份有限公司</w:t>
            </w:r>
          </w:p>
        </w:tc>
        <w:tc>
          <w:tcPr>
            <w:tcW w:w="31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民生银行深圳南山支行</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pStyle w:val="TableParagraph"/>
              <w:ind w:left="0"/>
              <w:rPr>
                <w:sz w:val="20"/>
              </w:rPr>
            </w:pPr>
            <w:r>
              <w:rPr>
                <w:color w:val="333333"/>
                <w:sz w:val="20"/>
              </w:rPr>
              <w:t>636440088</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B5ABA" w:rsidRDefault="007E1F77">
            <w:pPr>
              <w:widowControl/>
              <w:jc w:val="center"/>
              <w:textAlignment w:val="top"/>
              <w:rPr>
                <w:color w:val="000000"/>
                <w:sz w:val="20"/>
                <w:szCs w:val="20"/>
              </w:rPr>
            </w:pPr>
            <w:r>
              <w:rPr>
                <w:color w:val="000000"/>
                <w:kern w:val="0"/>
                <w:sz w:val="20"/>
                <w:szCs w:val="20"/>
                <w:lang w:bidi="ar"/>
              </w:rPr>
              <w:t>深圳</w:t>
            </w:r>
          </w:p>
        </w:tc>
      </w:tr>
    </w:tbl>
    <w:p w:rsidR="00FB5ABA" w:rsidRDefault="00FB5ABA">
      <w:pPr>
        <w:snapToGrid w:val="0"/>
        <w:spacing w:line="360" w:lineRule="auto"/>
        <w:ind w:firstLineChars="200" w:firstLine="480"/>
        <w:rPr>
          <w:rFonts w:ascii="宋体" w:hAnsi="宋体"/>
          <w:sz w:val="24"/>
        </w:rPr>
      </w:pPr>
    </w:p>
    <w:p w:rsidR="00FB5ABA" w:rsidRDefault="007E1F77">
      <w:pPr>
        <w:snapToGrid w:val="0"/>
        <w:spacing w:line="360" w:lineRule="auto"/>
        <w:ind w:firstLineChars="200" w:firstLine="480"/>
        <w:rPr>
          <w:rFonts w:ascii="宋体" w:hAnsi="宋体"/>
          <w:sz w:val="24"/>
        </w:rPr>
      </w:pPr>
      <w:r>
        <w:rPr>
          <w:rFonts w:ascii="宋体" w:hAnsi="宋体" w:hint="eastAsia"/>
          <w:sz w:val="24"/>
        </w:rPr>
        <w:lastRenderedPageBreak/>
        <w:t>2</w:t>
      </w:r>
      <w:r>
        <w:rPr>
          <w:rFonts w:ascii="宋体" w:hAnsi="宋体" w:hint="eastAsia"/>
          <w:sz w:val="24"/>
        </w:rPr>
        <w:t>、期货保证金安全存管方式</w:t>
      </w:r>
    </w:p>
    <w:p w:rsidR="00FB5ABA" w:rsidRDefault="007E1F77">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投资者从事期货交易，应当在期货结算银行（工行、农行、中行、建行、交行、浦发、光大、民生、兴业、招商、中信、平安）开立用于期货交易出入金的银行结算账户（以下简称“期货结算账户”）或选择已在结算银行开立的银行结算账户登记为期货结算账户。投资者可在我司登记多家结算银行的期货结算账户。</w:t>
      </w:r>
    </w:p>
    <w:p w:rsidR="00FB5ABA" w:rsidRDefault="007E1F77">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）投资者使用期货结算账户办理期货交易出入金之前，应当在期货公司登记。</w:t>
      </w:r>
    </w:p>
    <w:p w:rsidR="00FB5ABA" w:rsidRDefault="007E1F77">
      <w:pPr>
        <w:snapToGrid w:val="0"/>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）投资者用于期货交易的出入金应当通过开设在同一期货结算银行的投资者期货结算账户和期货公司保证金账户以同行转账的形式办理，不得通过现金收付或期货公司内</w:t>
      </w:r>
      <w:r>
        <w:rPr>
          <w:rFonts w:ascii="宋体" w:hAnsi="宋体" w:hint="eastAsia"/>
          <w:sz w:val="24"/>
        </w:rPr>
        <w:t>部划转的方式办理出入金。</w:t>
      </w:r>
    </w:p>
    <w:p w:rsidR="00FB5ABA" w:rsidRDefault="007E1F77">
      <w:pPr>
        <w:rPr>
          <w:rFonts w:ascii="宋体" w:hAnsi="宋体"/>
          <w:b/>
          <w:sz w:val="24"/>
        </w:rPr>
      </w:pPr>
      <w:r>
        <w:rPr>
          <w:rFonts w:ascii="宋体" w:hAnsi="宋体" w:hint="eastAsia"/>
          <w:b/>
          <w:sz w:val="24"/>
        </w:rPr>
        <w:br w:type="page"/>
      </w:r>
    </w:p>
    <w:p w:rsidR="00FB5ABA" w:rsidRDefault="007E1F77">
      <w:pPr>
        <w:snapToGrid w:val="0"/>
        <w:spacing w:line="360" w:lineRule="auto"/>
        <w:ind w:firstLineChars="199" w:firstLine="479"/>
        <w:rPr>
          <w:rFonts w:ascii="宋体" w:hAnsi="宋体"/>
          <w:b/>
          <w:sz w:val="24"/>
        </w:rPr>
      </w:pPr>
      <w:r>
        <w:rPr>
          <w:rFonts w:ascii="宋体" w:hAnsi="宋体" w:hint="eastAsia"/>
          <w:b/>
          <w:sz w:val="24"/>
        </w:rPr>
        <w:lastRenderedPageBreak/>
        <w:t>三、客户期货开户流程</w:t>
      </w:r>
    </w:p>
    <w:p w:rsidR="00FB5ABA" w:rsidRDefault="007E1F77">
      <w:pPr>
        <w:snapToGrid w:val="0"/>
        <w:spacing w:line="360" w:lineRule="auto"/>
        <w:rPr>
          <w:rFonts w:ascii="宋体" w:hAnsi="宋体"/>
          <w:b/>
          <w:sz w:val="24"/>
        </w:rPr>
      </w:pPr>
      <w:r>
        <w:rPr>
          <w:noProof/>
        </w:rPr>
        <w:drawing>
          <wp:inline distT="0" distB="0" distL="114300" distR="114300">
            <wp:extent cx="5272405" cy="7327900"/>
            <wp:effectExtent l="0" t="0" r="44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7327900"/>
                    </a:xfrm>
                    <a:prstGeom prst="rect">
                      <a:avLst/>
                    </a:prstGeom>
                    <a:noFill/>
                    <a:ln>
                      <a:noFill/>
                    </a:ln>
                  </pic:spPr>
                </pic:pic>
              </a:graphicData>
            </a:graphic>
          </wp:inline>
        </w:drawing>
      </w:r>
      <w:r>
        <w:rPr>
          <w:noProof/>
        </w:rPr>
        <w:lastRenderedPageBreak/>
        <w:drawing>
          <wp:inline distT="0" distB="0" distL="114300" distR="114300">
            <wp:extent cx="5229225" cy="82581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29225" cy="8258175"/>
                    </a:xfrm>
                    <a:prstGeom prst="rect">
                      <a:avLst/>
                    </a:prstGeom>
                    <a:noFill/>
                    <a:ln>
                      <a:noFill/>
                    </a:ln>
                  </pic:spPr>
                </pic:pic>
              </a:graphicData>
            </a:graphic>
          </wp:inline>
        </w:drawing>
      </w:r>
      <w:r>
        <w:rPr>
          <w:noProof/>
        </w:rPr>
        <w:lastRenderedPageBreak/>
        <w:drawing>
          <wp:inline distT="0" distB="0" distL="114300" distR="114300">
            <wp:extent cx="5271135" cy="6696710"/>
            <wp:effectExtent l="0" t="0" r="571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1135" cy="6696710"/>
                    </a:xfrm>
                    <a:prstGeom prst="rect">
                      <a:avLst/>
                    </a:prstGeom>
                    <a:noFill/>
                    <a:ln>
                      <a:noFill/>
                    </a:ln>
                  </pic:spPr>
                </pic:pic>
              </a:graphicData>
            </a:graphic>
          </wp:inline>
        </w:drawing>
      </w:r>
      <w:r>
        <w:rPr>
          <w:noProof/>
        </w:rPr>
        <w:lastRenderedPageBreak/>
        <w:drawing>
          <wp:inline distT="0" distB="0" distL="114300" distR="114300">
            <wp:extent cx="5271135" cy="7209790"/>
            <wp:effectExtent l="0" t="0" r="571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1135" cy="7209790"/>
                    </a:xfrm>
                    <a:prstGeom prst="rect">
                      <a:avLst/>
                    </a:prstGeom>
                    <a:noFill/>
                    <a:ln>
                      <a:noFill/>
                    </a:ln>
                  </pic:spPr>
                </pic:pic>
              </a:graphicData>
            </a:graphic>
          </wp:inline>
        </w:drawing>
      </w:r>
      <w:r>
        <w:rPr>
          <w:noProof/>
        </w:rPr>
        <w:lastRenderedPageBreak/>
        <w:drawing>
          <wp:inline distT="0" distB="0" distL="114300" distR="114300">
            <wp:extent cx="5271135" cy="7139940"/>
            <wp:effectExtent l="0" t="0" r="571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1135" cy="7139940"/>
                    </a:xfrm>
                    <a:prstGeom prst="rect">
                      <a:avLst/>
                    </a:prstGeom>
                    <a:noFill/>
                    <a:ln>
                      <a:noFill/>
                    </a:ln>
                  </pic:spPr>
                </pic:pic>
              </a:graphicData>
            </a:graphic>
          </wp:inline>
        </w:drawing>
      </w:r>
    </w:p>
    <w:p w:rsidR="00FB5ABA" w:rsidRDefault="007E1F77">
      <w:pPr>
        <w:rPr>
          <w:rFonts w:ascii="宋体" w:hAnsi="宋体"/>
          <w:b/>
          <w:sz w:val="24"/>
        </w:rPr>
      </w:pPr>
      <w:r>
        <w:rPr>
          <w:rFonts w:ascii="宋体" w:hAnsi="宋体" w:hint="eastAsia"/>
          <w:b/>
          <w:sz w:val="24"/>
        </w:rPr>
        <w:br w:type="page"/>
      </w:r>
    </w:p>
    <w:p w:rsidR="00FB5ABA" w:rsidRDefault="007E1F77">
      <w:pPr>
        <w:snapToGrid w:val="0"/>
        <w:spacing w:line="360" w:lineRule="auto"/>
        <w:ind w:firstLineChars="199" w:firstLine="479"/>
        <w:rPr>
          <w:rFonts w:ascii="宋体" w:hAnsi="宋体"/>
          <w:b/>
          <w:sz w:val="24"/>
        </w:rPr>
      </w:pPr>
      <w:r>
        <w:rPr>
          <w:rFonts w:ascii="宋体" w:hAnsi="宋体" w:hint="eastAsia"/>
          <w:b/>
          <w:sz w:val="24"/>
        </w:rPr>
        <w:lastRenderedPageBreak/>
        <w:t>四、客户期货交易流程</w:t>
      </w:r>
    </w:p>
    <w:p w:rsidR="00FB5ABA" w:rsidRDefault="007E1F77">
      <w:pPr>
        <w:snapToGrid w:val="0"/>
        <w:spacing w:line="360" w:lineRule="auto"/>
        <w:ind w:firstLineChars="250" w:firstLine="525"/>
        <w:rPr>
          <w:rFonts w:ascii="宋体" w:hAnsi="宋体"/>
          <w:sz w:val="24"/>
        </w:rPr>
      </w:pPr>
      <w:r>
        <w:rPr>
          <w:noProof/>
        </w:rPr>
        <w:drawing>
          <wp:inline distT="0" distB="0" distL="114300" distR="114300">
            <wp:extent cx="4838700" cy="6657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838700" cy="6657975"/>
                    </a:xfrm>
                    <a:prstGeom prst="rect">
                      <a:avLst/>
                    </a:prstGeom>
                    <a:noFill/>
                    <a:ln>
                      <a:noFill/>
                    </a:ln>
                  </pic:spPr>
                </pic:pic>
              </a:graphicData>
            </a:graphic>
          </wp:inline>
        </w:drawing>
      </w:r>
      <w:r w:rsidR="00273B8A">
        <w:rPr>
          <w:rFonts w:ascii="宋体" w:hAnsi="宋体" w:hint="eastAsia"/>
          <w:sz w:val="24"/>
        </w:rPr>
        <w:t>中泰期货</w:t>
      </w:r>
      <w:r>
        <w:rPr>
          <w:rFonts w:ascii="宋体" w:hAnsi="宋体"/>
          <w:sz w:val="24"/>
        </w:rPr>
        <w:t>为客户提供如下</w:t>
      </w:r>
      <w:r>
        <w:rPr>
          <w:rFonts w:ascii="宋体" w:hAnsi="宋体" w:hint="eastAsia"/>
          <w:sz w:val="24"/>
        </w:rPr>
        <w:t>两种</w:t>
      </w:r>
      <w:r>
        <w:rPr>
          <w:rFonts w:ascii="宋体" w:hAnsi="宋体"/>
          <w:sz w:val="24"/>
        </w:rPr>
        <w:t>下单方式</w:t>
      </w:r>
      <w:r>
        <w:rPr>
          <w:rFonts w:ascii="宋体" w:hAnsi="宋体" w:hint="eastAsia"/>
          <w:sz w:val="24"/>
        </w:rPr>
        <w:t>：</w:t>
      </w:r>
    </w:p>
    <w:p w:rsidR="00FB5ABA" w:rsidRDefault="007E1F77">
      <w:pPr>
        <w:snapToGrid w:val="0"/>
        <w:spacing w:line="360" w:lineRule="auto"/>
        <w:ind w:firstLineChars="250" w:firstLine="600"/>
        <w:rPr>
          <w:rFonts w:ascii="宋体" w:hAnsi="宋体"/>
          <w:sz w:val="24"/>
        </w:rPr>
      </w:pPr>
      <w:r>
        <w:rPr>
          <w:rFonts w:ascii="宋体" w:hAnsi="宋体" w:hint="eastAsia"/>
          <w:sz w:val="24"/>
        </w:rPr>
        <w:t>1</w:t>
      </w:r>
      <w:r>
        <w:rPr>
          <w:rFonts w:ascii="宋体" w:hAnsi="宋体" w:hint="eastAsia"/>
          <w:sz w:val="24"/>
        </w:rPr>
        <w:t>、</w:t>
      </w:r>
      <w:r>
        <w:rPr>
          <w:rFonts w:ascii="宋体" w:hAnsi="宋体"/>
          <w:sz w:val="24"/>
        </w:rPr>
        <w:t>网上交易，下载正式交易程序，并安装</w:t>
      </w:r>
      <w:r>
        <w:rPr>
          <w:rFonts w:ascii="宋体" w:hAnsi="宋体" w:hint="eastAsia"/>
          <w:sz w:val="24"/>
        </w:rPr>
        <w:t>；（推荐）</w:t>
      </w:r>
    </w:p>
    <w:p w:rsidR="00FB5ABA" w:rsidRDefault="007E1F77">
      <w:pPr>
        <w:snapToGrid w:val="0"/>
        <w:spacing w:line="360" w:lineRule="auto"/>
        <w:ind w:firstLineChars="250" w:firstLine="600"/>
        <w:rPr>
          <w:rFonts w:ascii="宋体" w:hAnsi="宋体"/>
          <w:sz w:val="24"/>
        </w:rPr>
      </w:pPr>
      <w:r>
        <w:rPr>
          <w:rFonts w:ascii="宋体" w:hAnsi="宋体" w:hint="eastAsia"/>
          <w:sz w:val="24"/>
        </w:rPr>
        <w:t>2</w:t>
      </w:r>
      <w:r>
        <w:rPr>
          <w:rFonts w:ascii="宋体" w:hAnsi="宋体" w:hint="eastAsia"/>
          <w:sz w:val="24"/>
        </w:rPr>
        <w:t>、人工</w:t>
      </w:r>
      <w:r>
        <w:rPr>
          <w:rFonts w:ascii="宋体" w:hAnsi="宋体"/>
          <w:sz w:val="24"/>
        </w:rPr>
        <w:t>电话报单</w:t>
      </w:r>
      <w:r>
        <w:rPr>
          <w:rFonts w:ascii="宋体" w:hAnsi="宋体" w:hint="eastAsia"/>
          <w:sz w:val="24"/>
        </w:rPr>
        <w:t>：</w:t>
      </w:r>
      <w:r>
        <w:rPr>
          <w:rFonts w:ascii="宋体" w:hAnsi="宋体" w:hint="eastAsia"/>
          <w:sz w:val="24"/>
        </w:rPr>
        <w:t>4006186767</w:t>
      </w:r>
    </w:p>
    <w:p w:rsidR="00FB5ABA" w:rsidRDefault="007E1F77">
      <w:pPr>
        <w:snapToGrid w:val="0"/>
        <w:spacing w:line="360" w:lineRule="auto"/>
        <w:ind w:firstLine="360"/>
        <w:rPr>
          <w:rFonts w:ascii="宋体" w:hAnsi="宋体"/>
          <w:sz w:val="24"/>
        </w:rPr>
      </w:pPr>
      <w:r>
        <w:rPr>
          <w:rFonts w:ascii="宋体" w:hAnsi="宋体" w:hint="eastAsia"/>
          <w:sz w:val="24"/>
        </w:rPr>
        <w:t>注：网上交易方式出现故障时，请客户采用电话报单作为应急下单方式。</w:t>
      </w:r>
    </w:p>
    <w:p w:rsidR="00FB5ABA" w:rsidRDefault="007E1F77">
      <w:pPr>
        <w:snapToGrid w:val="0"/>
        <w:spacing w:line="360" w:lineRule="auto"/>
        <w:ind w:firstLineChars="199" w:firstLine="479"/>
        <w:rPr>
          <w:rFonts w:ascii="宋体" w:hAnsi="宋体"/>
          <w:b/>
          <w:sz w:val="24"/>
        </w:rPr>
      </w:pPr>
      <w:r>
        <w:rPr>
          <w:rFonts w:ascii="宋体" w:hAnsi="宋体" w:hint="eastAsia"/>
          <w:b/>
          <w:sz w:val="24"/>
        </w:rPr>
        <w:t>五、客户期货出入金流程</w:t>
      </w:r>
      <w:r w:rsidR="00273B8A">
        <w:rPr>
          <w:rFonts w:ascii="宋体" w:hAnsi="宋体" w:hint="eastAsia"/>
          <w:b/>
          <w:sz w:val="24"/>
        </w:rPr>
        <w:t>（详见中泰期货官网）</w:t>
      </w:r>
    </w:p>
    <w:p w:rsidR="00FB5ABA" w:rsidRDefault="007E1F77">
      <w:pPr>
        <w:snapToGrid w:val="0"/>
        <w:spacing w:line="360" w:lineRule="auto"/>
        <w:ind w:firstLineChars="250" w:firstLine="600"/>
        <w:rPr>
          <w:rFonts w:ascii="宋体" w:hAnsi="宋体"/>
          <w:sz w:val="24"/>
        </w:rPr>
      </w:pPr>
      <w:r>
        <w:rPr>
          <w:rFonts w:ascii="宋体" w:hAnsi="宋体" w:hint="eastAsia"/>
          <w:sz w:val="24"/>
        </w:rPr>
        <w:t>1</w:t>
      </w:r>
      <w:r>
        <w:rPr>
          <w:rFonts w:ascii="宋体" w:hAnsi="宋体" w:hint="eastAsia"/>
          <w:sz w:val="24"/>
        </w:rPr>
        <w:t>、入金流程</w:t>
      </w:r>
    </w:p>
    <w:p w:rsidR="00FB5ABA" w:rsidRDefault="007E1F77">
      <w:pPr>
        <w:snapToGrid w:val="0"/>
        <w:spacing w:line="360" w:lineRule="auto"/>
        <w:ind w:firstLineChars="250" w:firstLine="600"/>
        <w:rPr>
          <w:rFonts w:ascii="宋体" w:hAnsi="宋体"/>
          <w:sz w:val="24"/>
        </w:rPr>
      </w:pPr>
      <w:r>
        <w:rPr>
          <w:rFonts w:ascii="宋体" w:hAnsi="宋体" w:hint="eastAsia"/>
          <w:sz w:val="24"/>
        </w:rPr>
        <w:lastRenderedPageBreak/>
        <w:t>2</w:t>
      </w:r>
      <w:r>
        <w:rPr>
          <w:rFonts w:ascii="宋体" w:hAnsi="宋体" w:hint="eastAsia"/>
          <w:sz w:val="24"/>
        </w:rPr>
        <w:t>、出金流程</w:t>
      </w:r>
    </w:p>
    <w:p w:rsidR="00FB5ABA" w:rsidRDefault="007E1F77" w:rsidP="00273B8A">
      <w:pPr>
        <w:snapToGrid w:val="0"/>
        <w:spacing w:line="360" w:lineRule="auto"/>
        <w:ind w:firstLineChars="252" w:firstLine="605"/>
        <w:rPr>
          <w:rFonts w:ascii="宋体" w:hAnsi="宋体"/>
          <w:sz w:val="24"/>
        </w:rPr>
      </w:pPr>
      <w:r>
        <w:rPr>
          <w:rFonts w:ascii="宋体" w:hAnsi="宋体" w:hint="eastAsia"/>
          <w:sz w:val="24"/>
        </w:rPr>
        <w:t>3</w:t>
      </w:r>
      <w:r>
        <w:rPr>
          <w:rFonts w:ascii="宋体" w:hAnsi="宋体" w:hint="eastAsia"/>
          <w:sz w:val="24"/>
        </w:rPr>
        <w:t>、银期转账出入金注意事项</w:t>
      </w:r>
    </w:p>
    <w:p w:rsidR="00FB5ABA" w:rsidRDefault="007E1F77">
      <w:pPr>
        <w:snapToGrid w:val="0"/>
        <w:spacing w:line="360" w:lineRule="auto"/>
        <w:ind w:firstLineChars="199" w:firstLine="479"/>
        <w:rPr>
          <w:rFonts w:ascii="宋体" w:hAnsi="宋体"/>
          <w:b/>
          <w:sz w:val="24"/>
        </w:rPr>
      </w:pPr>
      <w:r>
        <w:rPr>
          <w:rFonts w:ascii="宋体" w:hAnsi="宋体" w:hint="eastAsia"/>
          <w:b/>
          <w:sz w:val="24"/>
        </w:rPr>
        <w:t>六、客户期货交易结算结果的查询方式</w:t>
      </w:r>
    </w:p>
    <w:p w:rsidR="00FB5ABA" w:rsidRDefault="007E1F77">
      <w:pPr>
        <w:snapToGrid w:val="0"/>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w:t>
      </w:r>
      <w:r>
        <w:rPr>
          <w:rFonts w:ascii="宋体" w:hAnsi="宋体"/>
          <w:sz w:val="24"/>
        </w:rPr>
        <w:t>通过独立第三方的</w:t>
      </w:r>
      <w:r>
        <w:rPr>
          <w:rFonts w:ascii="宋体" w:hAnsi="宋体" w:hint="eastAsia"/>
          <w:sz w:val="24"/>
        </w:rPr>
        <w:t>中国期货市场</w:t>
      </w:r>
      <w:r>
        <w:rPr>
          <w:rFonts w:ascii="宋体" w:hAnsi="宋体"/>
          <w:sz w:val="24"/>
        </w:rPr>
        <w:t>监控中心（</w:t>
      </w:r>
      <w:r>
        <w:rPr>
          <w:rFonts w:ascii="宋体" w:hAnsi="宋体"/>
          <w:sz w:val="24"/>
        </w:rPr>
        <w:t>www.cfmmc.com)</w:t>
      </w:r>
      <w:r>
        <w:rPr>
          <w:rFonts w:ascii="宋体" w:hAnsi="宋体"/>
          <w:sz w:val="24"/>
        </w:rPr>
        <w:t>；</w:t>
      </w:r>
    </w:p>
    <w:p w:rsidR="00FB5ABA" w:rsidRDefault="007E1F77">
      <w:pPr>
        <w:snapToGrid w:val="0"/>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sz w:val="24"/>
        </w:rPr>
        <w:t>通过</w:t>
      </w:r>
      <w:r>
        <w:rPr>
          <w:rFonts w:ascii="宋体" w:hAnsi="宋体" w:hint="eastAsia"/>
          <w:sz w:val="24"/>
        </w:rPr>
        <w:t>期货公司</w:t>
      </w:r>
      <w:r>
        <w:rPr>
          <w:rFonts w:ascii="宋体" w:hAnsi="宋体"/>
          <w:sz w:val="24"/>
        </w:rPr>
        <w:t>交易系统终端。</w:t>
      </w:r>
    </w:p>
    <w:p w:rsidR="00FB5ABA" w:rsidRDefault="007E1F77">
      <w:pPr>
        <w:snapToGrid w:val="0"/>
        <w:spacing w:line="360" w:lineRule="auto"/>
        <w:ind w:firstLineChars="199" w:firstLine="479"/>
        <w:rPr>
          <w:rFonts w:ascii="宋体" w:hAnsi="宋体"/>
          <w:b/>
          <w:sz w:val="24"/>
        </w:rPr>
      </w:pPr>
      <w:r>
        <w:rPr>
          <w:rFonts w:ascii="宋体" w:hAnsi="宋体" w:hint="eastAsia"/>
          <w:b/>
          <w:sz w:val="24"/>
        </w:rPr>
        <w:t>七、客服电话</w:t>
      </w:r>
    </w:p>
    <w:p w:rsidR="00FB5ABA" w:rsidRDefault="00273B8A" w:rsidP="00FB5ABA">
      <w:pPr>
        <w:snapToGrid w:val="0"/>
        <w:spacing w:line="360" w:lineRule="auto"/>
        <w:ind w:firstLineChars="299" w:firstLine="718"/>
        <w:rPr>
          <w:rFonts w:ascii="宋体" w:hAnsi="宋体" w:hint="eastAsia"/>
          <w:sz w:val="24"/>
        </w:rPr>
      </w:pPr>
      <w:r>
        <w:rPr>
          <w:rFonts w:ascii="宋体" w:hAnsi="宋体" w:hint="eastAsia"/>
          <w:sz w:val="24"/>
        </w:rPr>
        <w:t>中泰期货客服电话：</w:t>
      </w:r>
      <w:r w:rsidR="007E1F77">
        <w:rPr>
          <w:rFonts w:ascii="宋体" w:hAnsi="宋体" w:hint="eastAsia"/>
          <w:sz w:val="24"/>
        </w:rPr>
        <w:t>4006186767</w:t>
      </w:r>
    </w:p>
    <w:p w:rsidR="00273B8A" w:rsidRDefault="00273B8A" w:rsidP="00FB5ABA">
      <w:pPr>
        <w:snapToGrid w:val="0"/>
        <w:spacing w:line="360" w:lineRule="auto"/>
        <w:ind w:firstLineChars="299" w:firstLine="718"/>
        <w:rPr>
          <w:rFonts w:ascii="宋体" w:hAnsi="宋体"/>
          <w:sz w:val="24"/>
        </w:rPr>
      </w:pPr>
      <w:r>
        <w:rPr>
          <w:rFonts w:ascii="宋体" w:hAnsi="宋体" w:hint="eastAsia"/>
          <w:sz w:val="24"/>
        </w:rPr>
        <w:t>华鑫证券客服电话</w:t>
      </w:r>
      <w:bookmarkStart w:id="0" w:name="_GoBack"/>
      <w:bookmarkEnd w:id="0"/>
      <w:r>
        <w:rPr>
          <w:rFonts w:ascii="宋体" w:hAnsi="宋体" w:hint="eastAsia"/>
          <w:sz w:val="24"/>
        </w:rPr>
        <w:t>：95323</w:t>
      </w:r>
    </w:p>
    <w:sectPr w:rsidR="00273B8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F77" w:rsidRDefault="007E1F77" w:rsidP="00273B8A">
      <w:r>
        <w:separator/>
      </w:r>
    </w:p>
  </w:endnote>
  <w:endnote w:type="continuationSeparator" w:id="0">
    <w:p w:rsidR="007E1F77" w:rsidRDefault="007E1F77" w:rsidP="00273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F77" w:rsidRDefault="007E1F77" w:rsidP="00273B8A">
      <w:r>
        <w:separator/>
      </w:r>
    </w:p>
  </w:footnote>
  <w:footnote w:type="continuationSeparator" w:id="0">
    <w:p w:rsidR="007E1F77" w:rsidRDefault="007E1F77" w:rsidP="00273B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3MWNlMmExNGMzMDU5NmI0YTEyNDI0MmI5NjM5YTYifQ=="/>
  </w:docVars>
  <w:rsids>
    <w:rsidRoot w:val="007C5EC0"/>
    <w:rsid w:val="00001BBF"/>
    <w:rsid w:val="00095779"/>
    <w:rsid w:val="000B46EE"/>
    <w:rsid w:val="000D2D4A"/>
    <w:rsid w:val="000F467D"/>
    <w:rsid w:val="00131368"/>
    <w:rsid w:val="00135610"/>
    <w:rsid w:val="00147883"/>
    <w:rsid w:val="001629D9"/>
    <w:rsid w:val="00193EA7"/>
    <w:rsid w:val="001C0BD4"/>
    <w:rsid w:val="002043B6"/>
    <w:rsid w:val="00214072"/>
    <w:rsid w:val="00220829"/>
    <w:rsid w:val="00236694"/>
    <w:rsid w:val="00252684"/>
    <w:rsid w:val="002606AC"/>
    <w:rsid w:val="00273B8A"/>
    <w:rsid w:val="002D6283"/>
    <w:rsid w:val="002E3800"/>
    <w:rsid w:val="003346F2"/>
    <w:rsid w:val="00352C5D"/>
    <w:rsid w:val="003539E3"/>
    <w:rsid w:val="003624E6"/>
    <w:rsid w:val="00362819"/>
    <w:rsid w:val="003A7CB0"/>
    <w:rsid w:val="003E05A7"/>
    <w:rsid w:val="00420563"/>
    <w:rsid w:val="00474E9A"/>
    <w:rsid w:val="00481051"/>
    <w:rsid w:val="0049760C"/>
    <w:rsid w:val="004A3668"/>
    <w:rsid w:val="004A60CA"/>
    <w:rsid w:val="004B4646"/>
    <w:rsid w:val="004E0D1E"/>
    <w:rsid w:val="00525EA2"/>
    <w:rsid w:val="00546F57"/>
    <w:rsid w:val="005501FC"/>
    <w:rsid w:val="0056760C"/>
    <w:rsid w:val="005A02CE"/>
    <w:rsid w:val="005A71FA"/>
    <w:rsid w:val="005B2E35"/>
    <w:rsid w:val="005D3BF9"/>
    <w:rsid w:val="005D7267"/>
    <w:rsid w:val="005F2911"/>
    <w:rsid w:val="005F3089"/>
    <w:rsid w:val="006234CE"/>
    <w:rsid w:val="00666A28"/>
    <w:rsid w:val="006722FB"/>
    <w:rsid w:val="006741FD"/>
    <w:rsid w:val="006854BB"/>
    <w:rsid w:val="006A5AC6"/>
    <w:rsid w:val="006C32F7"/>
    <w:rsid w:val="006C52B0"/>
    <w:rsid w:val="006C7416"/>
    <w:rsid w:val="006F4A04"/>
    <w:rsid w:val="007315F3"/>
    <w:rsid w:val="00734416"/>
    <w:rsid w:val="00780831"/>
    <w:rsid w:val="007827C7"/>
    <w:rsid w:val="0078795F"/>
    <w:rsid w:val="007B1E6F"/>
    <w:rsid w:val="007C5EC0"/>
    <w:rsid w:val="007E1F77"/>
    <w:rsid w:val="008167FE"/>
    <w:rsid w:val="00822F20"/>
    <w:rsid w:val="00846A2A"/>
    <w:rsid w:val="008515F8"/>
    <w:rsid w:val="00880035"/>
    <w:rsid w:val="008D3199"/>
    <w:rsid w:val="008E6D3C"/>
    <w:rsid w:val="00964FF5"/>
    <w:rsid w:val="00984AEC"/>
    <w:rsid w:val="00994DE8"/>
    <w:rsid w:val="009C717B"/>
    <w:rsid w:val="00A540EB"/>
    <w:rsid w:val="00AA2C17"/>
    <w:rsid w:val="00AA582B"/>
    <w:rsid w:val="00AC5FEB"/>
    <w:rsid w:val="00B03A8F"/>
    <w:rsid w:val="00B13235"/>
    <w:rsid w:val="00B32D37"/>
    <w:rsid w:val="00B6623E"/>
    <w:rsid w:val="00B72059"/>
    <w:rsid w:val="00BB43A0"/>
    <w:rsid w:val="00BD1E0E"/>
    <w:rsid w:val="00BD62B9"/>
    <w:rsid w:val="00BF6CE5"/>
    <w:rsid w:val="00C26E0E"/>
    <w:rsid w:val="00C72575"/>
    <w:rsid w:val="00C81BCC"/>
    <w:rsid w:val="00CB5A05"/>
    <w:rsid w:val="00CC2F1A"/>
    <w:rsid w:val="00CC3770"/>
    <w:rsid w:val="00CE7E4C"/>
    <w:rsid w:val="00D122C9"/>
    <w:rsid w:val="00D1492C"/>
    <w:rsid w:val="00D40DFA"/>
    <w:rsid w:val="00D5348E"/>
    <w:rsid w:val="00D563E6"/>
    <w:rsid w:val="00D645E6"/>
    <w:rsid w:val="00DA5D6A"/>
    <w:rsid w:val="00DB31FE"/>
    <w:rsid w:val="00DF42D5"/>
    <w:rsid w:val="00DF7772"/>
    <w:rsid w:val="00E1571C"/>
    <w:rsid w:val="00E167C2"/>
    <w:rsid w:val="00E26522"/>
    <w:rsid w:val="00E404DB"/>
    <w:rsid w:val="00E52C19"/>
    <w:rsid w:val="00EF116F"/>
    <w:rsid w:val="00F2565A"/>
    <w:rsid w:val="00F403A9"/>
    <w:rsid w:val="00F809E9"/>
    <w:rsid w:val="00FB010E"/>
    <w:rsid w:val="00FB5ABA"/>
    <w:rsid w:val="00FC12A0"/>
    <w:rsid w:val="00FD6A76"/>
    <w:rsid w:val="00FD7D3D"/>
    <w:rsid w:val="00FF0B49"/>
    <w:rsid w:val="0251727E"/>
    <w:rsid w:val="11226071"/>
    <w:rsid w:val="33E30EA6"/>
    <w:rsid w:val="3E607727"/>
    <w:rsid w:val="5F134892"/>
    <w:rsid w:val="68885C2B"/>
    <w:rsid w:val="6C5F1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Pr>
      <w:sz w:val="24"/>
    </w:rPr>
  </w:style>
  <w:style w:type="paragraph" w:styleId="a8">
    <w:name w:val="annotation subject"/>
    <w:basedOn w:val="a3"/>
    <w:next w:val="a3"/>
    <w:link w:val="Char3"/>
    <w:rPr>
      <w:b/>
      <w:bCs/>
    </w:rPr>
  </w:style>
  <w:style w:type="character" w:styleId="a9">
    <w:name w:val="Hyperlink"/>
    <w:qFormat/>
    <w:rPr>
      <w:color w:val="353535"/>
      <w:u w:val="none"/>
    </w:rPr>
  </w:style>
  <w:style w:type="character" w:styleId="aa">
    <w:name w:val="annotation reference"/>
    <w:qFormat/>
    <w:rPr>
      <w:sz w:val="21"/>
      <w:szCs w:val="21"/>
    </w:rPr>
  </w:style>
  <w:style w:type="character" w:customStyle="1" w:styleId="Char2">
    <w:name w:val="页眉 Char"/>
    <w:link w:val="a6"/>
    <w:qFormat/>
    <w:rPr>
      <w:kern w:val="2"/>
      <w:sz w:val="18"/>
      <w:szCs w:val="18"/>
    </w:rPr>
  </w:style>
  <w:style w:type="character" w:customStyle="1" w:styleId="Char1">
    <w:name w:val="页脚 Char"/>
    <w:link w:val="a5"/>
    <w:qFormat/>
    <w:rPr>
      <w:kern w:val="2"/>
      <w:sz w:val="18"/>
      <w:szCs w:val="18"/>
    </w:rPr>
  </w:style>
  <w:style w:type="character" w:customStyle="1" w:styleId="Char0">
    <w:name w:val="批注框文本 Char"/>
    <w:link w:val="a4"/>
    <w:qFormat/>
    <w:rPr>
      <w:kern w:val="2"/>
      <w:sz w:val="18"/>
      <w:szCs w:val="18"/>
    </w:rPr>
  </w:style>
  <w:style w:type="character" w:customStyle="1" w:styleId="Char">
    <w:name w:val="批注文字 Char"/>
    <w:link w:val="a3"/>
    <w:qFormat/>
    <w:rPr>
      <w:kern w:val="2"/>
      <w:sz w:val="21"/>
      <w:szCs w:val="24"/>
    </w:rPr>
  </w:style>
  <w:style w:type="character" w:customStyle="1" w:styleId="Char3">
    <w:name w:val="批注主题 Char"/>
    <w:link w:val="a8"/>
    <w:qFormat/>
    <w:rPr>
      <w:b/>
      <w:bCs/>
      <w:kern w:val="2"/>
      <w:sz w:val="21"/>
      <w:szCs w:val="24"/>
    </w:rPr>
  </w:style>
  <w:style w:type="paragraph" w:customStyle="1" w:styleId="TableParagraph">
    <w:name w:val="Table Paragraph"/>
    <w:basedOn w:val="a"/>
    <w:uiPriority w:val="1"/>
    <w:qFormat/>
    <w:pPr>
      <w:ind w:left="14"/>
    </w:pPr>
    <w:rPr>
      <w:rFonts w:ascii="宋体" w:hAnsi="宋体" w:cs="宋体"/>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Pr>
      <w:sz w:val="24"/>
    </w:rPr>
  </w:style>
  <w:style w:type="paragraph" w:styleId="a8">
    <w:name w:val="annotation subject"/>
    <w:basedOn w:val="a3"/>
    <w:next w:val="a3"/>
    <w:link w:val="Char3"/>
    <w:rPr>
      <w:b/>
      <w:bCs/>
    </w:rPr>
  </w:style>
  <w:style w:type="character" w:styleId="a9">
    <w:name w:val="Hyperlink"/>
    <w:qFormat/>
    <w:rPr>
      <w:color w:val="353535"/>
      <w:u w:val="none"/>
    </w:rPr>
  </w:style>
  <w:style w:type="character" w:styleId="aa">
    <w:name w:val="annotation reference"/>
    <w:qFormat/>
    <w:rPr>
      <w:sz w:val="21"/>
      <w:szCs w:val="21"/>
    </w:rPr>
  </w:style>
  <w:style w:type="character" w:customStyle="1" w:styleId="Char2">
    <w:name w:val="页眉 Char"/>
    <w:link w:val="a6"/>
    <w:qFormat/>
    <w:rPr>
      <w:kern w:val="2"/>
      <w:sz w:val="18"/>
      <w:szCs w:val="18"/>
    </w:rPr>
  </w:style>
  <w:style w:type="character" w:customStyle="1" w:styleId="Char1">
    <w:name w:val="页脚 Char"/>
    <w:link w:val="a5"/>
    <w:qFormat/>
    <w:rPr>
      <w:kern w:val="2"/>
      <w:sz w:val="18"/>
      <w:szCs w:val="18"/>
    </w:rPr>
  </w:style>
  <w:style w:type="character" w:customStyle="1" w:styleId="Char0">
    <w:name w:val="批注框文本 Char"/>
    <w:link w:val="a4"/>
    <w:qFormat/>
    <w:rPr>
      <w:kern w:val="2"/>
      <w:sz w:val="18"/>
      <w:szCs w:val="18"/>
    </w:rPr>
  </w:style>
  <w:style w:type="character" w:customStyle="1" w:styleId="Char">
    <w:name w:val="批注文字 Char"/>
    <w:link w:val="a3"/>
    <w:qFormat/>
    <w:rPr>
      <w:kern w:val="2"/>
      <w:sz w:val="21"/>
      <w:szCs w:val="24"/>
    </w:rPr>
  </w:style>
  <w:style w:type="character" w:customStyle="1" w:styleId="Char3">
    <w:name w:val="批注主题 Char"/>
    <w:link w:val="a8"/>
    <w:qFormat/>
    <w:rPr>
      <w:b/>
      <w:bCs/>
      <w:kern w:val="2"/>
      <w:sz w:val="21"/>
      <w:szCs w:val="24"/>
    </w:rPr>
  </w:style>
  <w:style w:type="paragraph" w:customStyle="1" w:styleId="TableParagraph">
    <w:name w:val="Table Paragraph"/>
    <w:basedOn w:val="a"/>
    <w:uiPriority w:val="1"/>
    <w:qFormat/>
    <w:pPr>
      <w:ind w:left="14"/>
    </w:pPr>
    <w:rPr>
      <w:rFonts w:ascii="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531</Words>
  <Characters>3032</Characters>
  <Application>Microsoft Office Word</Application>
  <DocSecurity>0</DocSecurity>
  <Lines>25</Lines>
  <Paragraphs>7</Paragraphs>
  <ScaleCrop>false</ScaleCrop>
  <Company>Lenovo</Company>
  <LinksUpToDate>false</LinksUpToDate>
  <CharactersWithSpaces>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客户期货出入金流程</dc:title>
  <dc:creator>王昌洲</dc:creator>
  <cp:lastModifiedBy>孔泉</cp:lastModifiedBy>
  <cp:revision>7</cp:revision>
  <cp:lastPrinted>2016-11-30T08:55:00Z</cp:lastPrinted>
  <dcterms:created xsi:type="dcterms:W3CDTF">2020-04-01T02:24:00Z</dcterms:created>
  <dcterms:modified xsi:type="dcterms:W3CDTF">2022-09-23T08:10:00Z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ACE0214AFFEF43388CB7009B549576D9</vt:lpwstr>
  </property>
</Properties>
</file>